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4839"/>
        <w:gridCol w:w="2646"/>
      </w:tblGrid>
      <w:tr w:rsidR="003D359A" w14:paraId="07737ED8" w14:textId="77777777" w:rsidTr="0084580C">
        <w:tc>
          <w:tcPr>
            <w:tcW w:w="2624" w:type="dxa"/>
          </w:tcPr>
          <w:p w14:paraId="5A3B99BB" w14:textId="18F0FD33" w:rsidR="003D359A" w:rsidRDefault="000364C4" w:rsidP="00A90CF5">
            <w:pPr>
              <w:spacing w:before="280" w:after="80"/>
              <w:rPr>
                <w:rFonts w:ascii="Lato" w:eastAsia="Lato" w:hAnsi="Lato" w:cs="Lato"/>
                <w:b/>
                <w:sz w:val="36"/>
                <w:szCs w:val="36"/>
                <w:lang w:val="en-GB"/>
              </w:rPr>
            </w:pPr>
            <w:r>
              <w:rPr>
                <w:noProof/>
              </w:rPr>
              <w:drawing>
                <wp:anchor distT="0" distB="0" distL="114300" distR="114300" simplePos="0" relativeHeight="251664384" behindDoc="0" locked="0" layoutInCell="1" allowOverlap="1" wp14:anchorId="4CEBDEA8" wp14:editId="191F7257">
                  <wp:simplePos x="0" y="0"/>
                  <wp:positionH relativeFrom="margin">
                    <wp:posOffset>-66675</wp:posOffset>
                  </wp:positionH>
                  <wp:positionV relativeFrom="paragraph">
                    <wp:posOffset>156845</wp:posOffset>
                  </wp:positionV>
                  <wp:extent cx="1680210" cy="391160"/>
                  <wp:effectExtent l="0" t="0" r="0" b="8890"/>
                  <wp:wrapSquare wrapText="bothSides"/>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9977" t="23345" r="10865" b="25847"/>
                          <a:stretch/>
                        </pic:blipFill>
                        <pic:spPr bwMode="auto">
                          <a:xfrm>
                            <a:off x="0" y="0"/>
                            <a:ext cx="1680210" cy="39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05" w:type="dxa"/>
          </w:tcPr>
          <w:p w14:paraId="0B61B025" w14:textId="702E5023" w:rsidR="003D359A" w:rsidRDefault="000364C4" w:rsidP="00A90CF5">
            <w:pPr>
              <w:spacing w:before="280" w:after="80"/>
              <w:rPr>
                <w:rFonts w:ascii="Lato" w:eastAsia="Lato" w:hAnsi="Lato" w:cs="Lato"/>
                <w:b/>
                <w:sz w:val="36"/>
                <w:szCs w:val="36"/>
                <w:lang w:val="en-GB"/>
              </w:rPr>
            </w:pPr>
            <w:r>
              <w:rPr>
                <w:noProof/>
              </w:rPr>
              <w:drawing>
                <wp:anchor distT="0" distB="0" distL="114300" distR="114300" simplePos="0" relativeHeight="251660288" behindDoc="0" locked="0" layoutInCell="1" allowOverlap="1" wp14:anchorId="1A0C5AF8" wp14:editId="7D37C413">
                  <wp:simplePos x="0" y="0"/>
                  <wp:positionH relativeFrom="margin">
                    <wp:posOffset>-68580</wp:posOffset>
                  </wp:positionH>
                  <wp:positionV relativeFrom="paragraph">
                    <wp:posOffset>869315</wp:posOffset>
                  </wp:positionV>
                  <wp:extent cx="1858645" cy="894715"/>
                  <wp:effectExtent l="0" t="0" r="0" b="0"/>
                  <wp:wrapSquare wrapText="bothSides"/>
                  <wp:docPr id="7" name="Picture 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Ícone&#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64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6EE">
              <w:rPr>
                <w:noProof/>
              </w:rPr>
              <w:drawing>
                <wp:anchor distT="0" distB="0" distL="114300" distR="114300" simplePos="0" relativeHeight="251663360" behindDoc="0" locked="0" layoutInCell="1" allowOverlap="1" wp14:anchorId="2EABA1C8" wp14:editId="2695DC0D">
                  <wp:simplePos x="0" y="0"/>
                  <wp:positionH relativeFrom="column">
                    <wp:posOffset>1797050</wp:posOffset>
                  </wp:positionH>
                  <wp:positionV relativeFrom="paragraph">
                    <wp:posOffset>935355</wp:posOffset>
                  </wp:positionV>
                  <wp:extent cx="1028700" cy="791845"/>
                  <wp:effectExtent l="0" t="0" r="0" b="8255"/>
                  <wp:wrapSquare wrapText="bothSides"/>
                  <wp:docPr id="4" name="Picture 4" descr="ogo de Kenya School of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de Kenya School of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918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4C08365" wp14:editId="43C671CB">
                  <wp:simplePos x="0" y="0"/>
                  <wp:positionH relativeFrom="column">
                    <wp:posOffset>1522095</wp:posOffset>
                  </wp:positionH>
                  <wp:positionV relativeFrom="paragraph">
                    <wp:posOffset>95250</wp:posOffset>
                  </wp:positionV>
                  <wp:extent cx="983615" cy="66738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61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1F6">
              <w:rPr>
                <w:rFonts w:cs="Calibri"/>
                <w:noProof/>
                <w:sz w:val="22"/>
                <w:szCs w:val="22"/>
              </w:rPr>
              <w:drawing>
                <wp:anchor distT="0" distB="0" distL="114300" distR="114300" simplePos="0" relativeHeight="251662336" behindDoc="0" locked="0" layoutInCell="1" allowOverlap="1" wp14:anchorId="0354F442" wp14:editId="50512980">
                  <wp:simplePos x="0" y="0"/>
                  <wp:positionH relativeFrom="column">
                    <wp:posOffset>-68580</wp:posOffset>
                  </wp:positionH>
                  <wp:positionV relativeFrom="paragraph">
                    <wp:posOffset>38100</wp:posOffset>
                  </wp:positionV>
                  <wp:extent cx="1005205" cy="588010"/>
                  <wp:effectExtent l="0" t="0" r="4445" b="2540"/>
                  <wp:wrapSquare wrapText="bothSides"/>
                  <wp:docPr id="6" name="Picture 6" descr="Résultat de recherche d'images pour &quot;logo commission européenne&quo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commission européenn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20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18" w:type="dxa"/>
          </w:tcPr>
          <w:p w14:paraId="3DAF4193" w14:textId="1961BB7F" w:rsidR="003D359A" w:rsidRDefault="000364C4" w:rsidP="003D359A">
            <w:pPr>
              <w:spacing w:before="280" w:after="80"/>
              <w:jc w:val="center"/>
              <w:rPr>
                <w:rFonts w:ascii="Lato" w:eastAsia="Lato" w:hAnsi="Lato" w:cs="Lato"/>
                <w:b/>
                <w:sz w:val="36"/>
                <w:szCs w:val="36"/>
                <w:lang w:val="en-GB"/>
              </w:rPr>
            </w:pPr>
            <w:r>
              <w:rPr>
                <w:noProof/>
              </w:rPr>
              <w:drawing>
                <wp:anchor distT="0" distB="0" distL="114300" distR="114300" simplePos="0" relativeHeight="251661312" behindDoc="1" locked="0" layoutInCell="1" allowOverlap="1" wp14:anchorId="1E744035" wp14:editId="7CC9F947">
                  <wp:simplePos x="0" y="0"/>
                  <wp:positionH relativeFrom="margin">
                    <wp:posOffset>-68580</wp:posOffset>
                  </wp:positionH>
                  <wp:positionV relativeFrom="paragraph">
                    <wp:posOffset>166370</wp:posOffset>
                  </wp:positionV>
                  <wp:extent cx="1535430" cy="502285"/>
                  <wp:effectExtent l="0" t="0" r="7620" b="0"/>
                  <wp:wrapSquare wrapText="bothSides"/>
                  <wp:docPr id="9" name="Picture 9" descr="UCLGA LOGO NO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CLGA LOGO NOVEA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a:ln>
                            <a:noFill/>
                          </a:ln>
                        </pic:spPr>
                      </pic:pic>
                    </a:graphicData>
                  </a:graphic>
                  <wp14:sizeRelH relativeFrom="margin">
                    <wp14:pctWidth>0</wp14:pctWidth>
                  </wp14:sizeRelH>
                  <wp14:sizeRelV relativeFrom="page">
                    <wp14:pctHeight>0</wp14:pctHeight>
                  </wp14:sizeRelV>
                </wp:anchor>
              </w:drawing>
            </w:r>
          </w:p>
        </w:tc>
      </w:tr>
    </w:tbl>
    <w:p w14:paraId="06AB939C" w14:textId="77777777" w:rsidR="0084580C" w:rsidRDefault="0084580C" w:rsidP="0084580C">
      <w:pPr>
        <w:jc w:val="both"/>
      </w:pPr>
    </w:p>
    <w:p w14:paraId="67395977" w14:textId="0B8AD95A" w:rsidR="0084580C" w:rsidRDefault="0084580C" w:rsidP="00CC5AC3">
      <w:pPr>
        <w:jc w:val="center"/>
        <w:rPr>
          <w:b/>
          <w:sz w:val="36"/>
          <w:szCs w:val="36"/>
        </w:rPr>
      </w:pPr>
      <w:r>
        <w:rPr>
          <w:b/>
          <w:sz w:val="36"/>
          <w:szCs w:val="36"/>
        </w:rPr>
        <w:t>Joint UNDESA and APS-HRMnet Capacity Development Workshop on</w:t>
      </w:r>
    </w:p>
    <w:p w14:paraId="4E7D661B" w14:textId="607284D9" w:rsidR="0084580C" w:rsidRDefault="0084580C" w:rsidP="0084580C">
      <w:pPr>
        <w:jc w:val="center"/>
        <w:rPr>
          <w:bCs/>
          <w:sz w:val="36"/>
          <w:szCs w:val="36"/>
        </w:rPr>
      </w:pPr>
      <w:proofErr w:type="gramStart"/>
      <w:r w:rsidRPr="00372CFF">
        <w:rPr>
          <w:bCs/>
          <w:sz w:val="36"/>
          <w:szCs w:val="36"/>
        </w:rPr>
        <w:t>“ Reaffirming</w:t>
      </w:r>
      <w:proofErr w:type="gramEnd"/>
      <w:r w:rsidRPr="00372CFF">
        <w:rPr>
          <w:bCs/>
          <w:sz w:val="36"/>
          <w:szCs w:val="36"/>
        </w:rPr>
        <w:t xml:space="preserve"> state-people governance relationships through the lenses of Human Resource Managers in Africa”</w:t>
      </w:r>
    </w:p>
    <w:p w14:paraId="01686996" w14:textId="3E9DECBB" w:rsidR="0084580C" w:rsidRPr="00AA4548" w:rsidRDefault="0084580C" w:rsidP="003E2099">
      <w:pPr>
        <w:jc w:val="center"/>
        <w:rPr>
          <w:b/>
          <w:sz w:val="36"/>
          <w:szCs w:val="36"/>
        </w:rPr>
      </w:pPr>
      <w:r w:rsidRPr="00AA4548">
        <w:rPr>
          <w:bCs/>
          <w:sz w:val="36"/>
          <w:szCs w:val="36"/>
        </w:rPr>
        <w:t xml:space="preserve">as an integrated part of </w:t>
      </w:r>
      <w:r w:rsidRPr="00AA4548">
        <w:rPr>
          <w:b/>
          <w:sz w:val="36"/>
          <w:szCs w:val="36"/>
        </w:rPr>
        <w:t>the 8</w:t>
      </w:r>
      <w:r w:rsidRPr="00AA4548">
        <w:rPr>
          <w:b/>
          <w:sz w:val="36"/>
          <w:szCs w:val="36"/>
          <w:vertAlign w:val="superscript"/>
        </w:rPr>
        <w:t>th</w:t>
      </w:r>
      <w:r w:rsidRPr="00AA4548">
        <w:rPr>
          <w:b/>
          <w:sz w:val="36"/>
          <w:szCs w:val="36"/>
        </w:rPr>
        <w:t xml:space="preserve"> Annual Conference of African Public Service- Human Resources Managers Network (APS-HRMnet)</w:t>
      </w:r>
    </w:p>
    <w:p w14:paraId="4B086904" w14:textId="007598EE" w:rsidR="0084580C" w:rsidRDefault="0084580C" w:rsidP="0084580C">
      <w:pPr>
        <w:rPr>
          <w:b/>
          <w:sz w:val="36"/>
          <w:szCs w:val="36"/>
        </w:rPr>
      </w:pPr>
    </w:p>
    <w:p w14:paraId="57EF5E6F" w14:textId="77777777" w:rsidR="0084580C" w:rsidRDefault="0084580C" w:rsidP="0084580C">
      <w:pPr>
        <w:ind w:left="3600" w:hanging="3884"/>
        <w:jc w:val="center"/>
        <w:rPr>
          <w:b/>
          <w:sz w:val="36"/>
          <w:szCs w:val="36"/>
        </w:rPr>
      </w:pPr>
    </w:p>
    <w:p w14:paraId="15069DE5" w14:textId="16F2CDE6" w:rsidR="0084580C" w:rsidRPr="00FD7F5D" w:rsidRDefault="0084580C" w:rsidP="000364C4">
      <w:pPr>
        <w:jc w:val="center"/>
        <w:rPr>
          <w:color w:val="000000"/>
          <w:sz w:val="36"/>
          <w:szCs w:val="36"/>
        </w:rPr>
      </w:pPr>
      <w:r w:rsidRPr="00FD7F5D">
        <w:rPr>
          <w:b/>
          <w:sz w:val="36"/>
          <w:szCs w:val="36"/>
        </w:rPr>
        <w:t>Theme</w:t>
      </w:r>
    </w:p>
    <w:p w14:paraId="39E41E4D" w14:textId="31E560FA" w:rsidR="0084580C" w:rsidRPr="00FD7F5D" w:rsidRDefault="000364C4" w:rsidP="000364C4">
      <w:pPr>
        <w:jc w:val="center"/>
        <w:rPr>
          <w:sz w:val="28"/>
          <w:szCs w:val="28"/>
        </w:rPr>
      </w:pPr>
      <w:r w:rsidRPr="000364C4">
        <w:rPr>
          <w:bCs/>
          <w:color w:val="000000"/>
          <w:sz w:val="28"/>
          <w:szCs w:val="28"/>
        </w:rPr>
        <w:t>“</w:t>
      </w:r>
      <w:r w:rsidR="0084580C">
        <w:t>Bringing citizens and government closer: The Role of Human Resource Management in service delivery for transforming public service and achieving the sustainable development goals</w:t>
      </w:r>
      <w:r>
        <w:t>”</w:t>
      </w:r>
      <w:r w:rsidR="0084580C">
        <w:t>.</w:t>
      </w:r>
    </w:p>
    <w:p w14:paraId="7F6B4E14" w14:textId="77777777" w:rsidR="0084580C" w:rsidRPr="00FD7F5D" w:rsidRDefault="0084580C" w:rsidP="0084580C">
      <w:pPr>
        <w:jc w:val="center"/>
        <w:rPr>
          <w:sz w:val="36"/>
          <w:szCs w:val="36"/>
        </w:rPr>
      </w:pPr>
    </w:p>
    <w:p w14:paraId="529F5ADD" w14:textId="0608B41F" w:rsidR="0084580C" w:rsidRPr="00FD7F5D" w:rsidRDefault="0084580C" w:rsidP="000364C4">
      <w:pPr>
        <w:jc w:val="center"/>
        <w:rPr>
          <w:sz w:val="36"/>
          <w:szCs w:val="36"/>
        </w:rPr>
      </w:pPr>
      <w:r w:rsidRPr="00FD7F5D">
        <w:rPr>
          <w:b/>
          <w:sz w:val="36"/>
          <w:szCs w:val="36"/>
        </w:rPr>
        <w:t>Dates</w:t>
      </w:r>
    </w:p>
    <w:p w14:paraId="466DA507" w14:textId="193E4C7A" w:rsidR="0084580C" w:rsidRPr="00FD7F5D" w:rsidRDefault="0084580C" w:rsidP="000364C4">
      <w:pPr>
        <w:jc w:val="center"/>
        <w:rPr>
          <w:sz w:val="36"/>
          <w:szCs w:val="36"/>
        </w:rPr>
      </w:pPr>
      <w:r>
        <w:rPr>
          <w:sz w:val="28"/>
          <w:szCs w:val="28"/>
        </w:rPr>
        <w:t>6</w:t>
      </w:r>
      <w:r w:rsidRPr="00E94775">
        <w:rPr>
          <w:sz w:val="28"/>
          <w:szCs w:val="28"/>
          <w:vertAlign w:val="superscript"/>
        </w:rPr>
        <w:t>th</w:t>
      </w:r>
      <w:r w:rsidRPr="00FD7F5D">
        <w:rPr>
          <w:sz w:val="28"/>
          <w:szCs w:val="28"/>
        </w:rPr>
        <w:t xml:space="preserve"> to </w:t>
      </w:r>
      <w:r>
        <w:rPr>
          <w:sz w:val="28"/>
          <w:szCs w:val="28"/>
        </w:rPr>
        <w:t>10</w:t>
      </w:r>
      <w:r>
        <w:rPr>
          <w:sz w:val="28"/>
          <w:szCs w:val="28"/>
          <w:vertAlign w:val="superscript"/>
        </w:rPr>
        <w:t xml:space="preserve">th </w:t>
      </w:r>
      <w:r w:rsidRPr="00FD7F5D">
        <w:rPr>
          <w:sz w:val="28"/>
          <w:szCs w:val="28"/>
        </w:rPr>
        <w:t>November 20</w:t>
      </w:r>
      <w:r>
        <w:rPr>
          <w:sz w:val="28"/>
          <w:szCs w:val="28"/>
        </w:rPr>
        <w:t>23</w:t>
      </w:r>
    </w:p>
    <w:p w14:paraId="7760E817" w14:textId="77777777" w:rsidR="0084580C" w:rsidRPr="00FD7F5D" w:rsidRDefault="0084580C" w:rsidP="0084580C">
      <w:pPr>
        <w:ind w:left="4111" w:hanging="1417"/>
        <w:jc w:val="center"/>
        <w:rPr>
          <w:b/>
          <w:sz w:val="36"/>
          <w:szCs w:val="36"/>
        </w:rPr>
      </w:pPr>
    </w:p>
    <w:p w14:paraId="5BB49F6F" w14:textId="65EE5228" w:rsidR="0084580C" w:rsidRPr="00FD7F5D" w:rsidRDefault="0084580C" w:rsidP="000364C4">
      <w:pPr>
        <w:jc w:val="center"/>
        <w:rPr>
          <w:sz w:val="28"/>
          <w:szCs w:val="28"/>
        </w:rPr>
      </w:pPr>
      <w:r w:rsidRPr="00FD7F5D">
        <w:rPr>
          <w:b/>
          <w:sz w:val="36"/>
          <w:szCs w:val="36"/>
        </w:rPr>
        <w:t>Venue</w:t>
      </w:r>
    </w:p>
    <w:p w14:paraId="3B554083" w14:textId="77777777" w:rsidR="0084580C" w:rsidRPr="00FD7F5D" w:rsidRDefault="0084580C" w:rsidP="0084580C">
      <w:pPr>
        <w:jc w:val="center"/>
        <w:rPr>
          <w:sz w:val="36"/>
          <w:szCs w:val="36"/>
        </w:rPr>
      </w:pPr>
      <w:r>
        <w:rPr>
          <w:sz w:val="28"/>
          <w:szCs w:val="28"/>
        </w:rPr>
        <w:t>Kenya School of Government</w:t>
      </w:r>
    </w:p>
    <w:p w14:paraId="24D5A464" w14:textId="77777777" w:rsidR="00587C16" w:rsidRDefault="00587C16" w:rsidP="00482A6B">
      <w:pPr>
        <w:ind w:left="-357"/>
        <w:jc w:val="center"/>
        <w:rPr>
          <w:rFonts w:eastAsia="Lato"/>
          <w:b/>
          <w:sz w:val="28"/>
          <w:szCs w:val="28"/>
          <w:lang w:val="en-GB"/>
        </w:rPr>
      </w:pPr>
    </w:p>
    <w:p w14:paraId="4BC955EC" w14:textId="0447E7D4" w:rsidR="004C7B6D" w:rsidRDefault="004C7B6D" w:rsidP="00482A6B">
      <w:pPr>
        <w:rPr>
          <w:rFonts w:eastAsia="Lato"/>
          <w:b/>
          <w:sz w:val="28"/>
          <w:szCs w:val="28"/>
          <w:lang w:val="en-GB"/>
        </w:rPr>
      </w:pPr>
    </w:p>
    <w:p w14:paraId="5595588D" w14:textId="3BC53AE9" w:rsidR="0084580C" w:rsidRDefault="0084580C" w:rsidP="00482A6B">
      <w:pPr>
        <w:rPr>
          <w:rFonts w:eastAsia="Lato"/>
          <w:b/>
          <w:sz w:val="28"/>
          <w:szCs w:val="28"/>
          <w:lang w:val="en-GB"/>
        </w:rPr>
      </w:pPr>
    </w:p>
    <w:p w14:paraId="1871E193" w14:textId="63E79194" w:rsidR="000364C4" w:rsidRDefault="000364C4" w:rsidP="00482A6B">
      <w:pPr>
        <w:rPr>
          <w:rFonts w:eastAsia="Lato"/>
          <w:b/>
          <w:sz w:val="28"/>
          <w:szCs w:val="28"/>
          <w:lang w:val="en-GB"/>
        </w:rPr>
      </w:pPr>
    </w:p>
    <w:p w14:paraId="45C8B80D" w14:textId="4049AA08" w:rsidR="000364C4" w:rsidRDefault="000364C4" w:rsidP="00482A6B">
      <w:pPr>
        <w:rPr>
          <w:rFonts w:eastAsia="Lato"/>
          <w:b/>
          <w:sz w:val="28"/>
          <w:szCs w:val="28"/>
          <w:lang w:val="en-GB"/>
        </w:rPr>
      </w:pPr>
    </w:p>
    <w:p w14:paraId="650CD08B" w14:textId="37A943F5" w:rsidR="000364C4" w:rsidRDefault="000364C4" w:rsidP="00482A6B">
      <w:pPr>
        <w:rPr>
          <w:rFonts w:eastAsia="Lato"/>
          <w:b/>
          <w:sz w:val="28"/>
          <w:szCs w:val="28"/>
          <w:lang w:val="en-GB"/>
        </w:rPr>
      </w:pPr>
    </w:p>
    <w:p w14:paraId="73A0D136" w14:textId="77777777" w:rsidR="000364C4" w:rsidRDefault="000364C4" w:rsidP="00482A6B">
      <w:pPr>
        <w:rPr>
          <w:rFonts w:eastAsia="Lato"/>
          <w:b/>
          <w:sz w:val="28"/>
          <w:szCs w:val="28"/>
          <w:lang w:val="en-GB"/>
        </w:rPr>
      </w:pPr>
    </w:p>
    <w:p w14:paraId="1F6D4CC5" w14:textId="2373A065" w:rsidR="0084580C" w:rsidRDefault="0084580C" w:rsidP="00482A6B">
      <w:pPr>
        <w:rPr>
          <w:rFonts w:eastAsia="Lato"/>
          <w:b/>
          <w:sz w:val="28"/>
          <w:szCs w:val="28"/>
          <w:lang w:val="en-GB"/>
        </w:rPr>
      </w:pPr>
    </w:p>
    <w:p w14:paraId="25DCFD23" w14:textId="29E7F544" w:rsidR="003E2099" w:rsidRDefault="003E2099" w:rsidP="00482A6B">
      <w:pPr>
        <w:rPr>
          <w:rFonts w:eastAsia="Lato"/>
          <w:b/>
          <w:sz w:val="28"/>
          <w:szCs w:val="28"/>
          <w:lang w:val="en-GB"/>
        </w:rPr>
      </w:pPr>
    </w:p>
    <w:p w14:paraId="42B90B78" w14:textId="77777777" w:rsidR="003E2099" w:rsidRDefault="003E2099" w:rsidP="00482A6B">
      <w:pPr>
        <w:rPr>
          <w:rFonts w:eastAsia="Lato"/>
          <w:b/>
          <w:sz w:val="28"/>
          <w:szCs w:val="28"/>
          <w:lang w:val="en-GB"/>
        </w:rPr>
      </w:pPr>
    </w:p>
    <w:p w14:paraId="515766B1" w14:textId="68C10C10" w:rsidR="0084580C" w:rsidRDefault="0084580C" w:rsidP="00482A6B">
      <w:pPr>
        <w:rPr>
          <w:rFonts w:eastAsia="Lato"/>
          <w:b/>
          <w:sz w:val="28"/>
          <w:szCs w:val="28"/>
          <w:lang w:val="en-GB"/>
        </w:rPr>
      </w:pPr>
    </w:p>
    <w:p w14:paraId="50F8AEC2" w14:textId="77777777" w:rsidR="00CC5AC3" w:rsidRPr="00482A6B" w:rsidRDefault="00CC5AC3" w:rsidP="00482A6B">
      <w:pPr>
        <w:rPr>
          <w:rFonts w:eastAsia="Lato"/>
          <w:b/>
          <w:sz w:val="28"/>
          <w:szCs w:val="28"/>
          <w:lang w:val="en-GB"/>
        </w:rPr>
      </w:pPr>
    </w:p>
    <w:p w14:paraId="5F9D13A8" w14:textId="4646105F" w:rsidR="001C2A58" w:rsidRPr="0063604A" w:rsidRDefault="001C2A58" w:rsidP="00482A6B">
      <w:pPr>
        <w:pStyle w:val="ListParagraph"/>
        <w:numPr>
          <w:ilvl w:val="0"/>
          <w:numId w:val="22"/>
        </w:numPr>
        <w:tabs>
          <w:tab w:val="left" w:pos="426"/>
        </w:tabs>
        <w:ind w:left="142" w:hanging="142"/>
        <w:rPr>
          <w:rFonts w:ascii="Times New Roman" w:eastAsia="Lato" w:hAnsi="Times New Roman" w:cs="Times New Roman"/>
          <w:b/>
          <w:sz w:val="28"/>
          <w:szCs w:val="28"/>
        </w:rPr>
      </w:pPr>
      <w:r w:rsidRPr="0063604A">
        <w:rPr>
          <w:rFonts w:ascii="Times New Roman" w:eastAsia="Lato" w:hAnsi="Times New Roman" w:cs="Times New Roman"/>
          <w:b/>
          <w:sz w:val="28"/>
          <w:szCs w:val="28"/>
        </w:rPr>
        <w:lastRenderedPageBreak/>
        <w:t>Background</w:t>
      </w:r>
    </w:p>
    <w:p w14:paraId="0CCC0693" w14:textId="77777777" w:rsidR="002026F6" w:rsidRDefault="002026F6" w:rsidP="002026F6">
      <w:pPr>
        <w:ind w:right="272"/>
        <w:jc w:val="both"/>
        <w:rPr>
          <w:color w:val="000000"/>
          <w:shd w:val="clear" w:color="auto" w:fill="FFFFFF"/>
        </w:rPr>
      </w:pPr>
    </w:p>
    <w:p w14:paraId="6592C4B7" w14:textId="3C43B6E3" w:rsidR="001C2A58" w:rsidRDefault="001C2A58" w:rsidP="002026F6">
      <w:pPr>
        <w:ind w:right="272"/>
        <w:jc w:val="both"/>
        <w:rPr>
          <w:color w:val="000000"/>
          <w:shd w:val="clear" w:color="auto" w:fill="FFFFFF"/>
        </w:rPr>
      </w:pPr>
      <w:r>
        <w:rPr>
          <w:color w:val="000000"/>
          <w:shd w:val="clear" w:color="auto" w:fill="FFFFFF"/>
        </w:rPr>
        <w:t xml:space="preserve">The </w:t>
      </w:r>
      <w:r w:rsidR="0061274C">
        <w:rPr>
          <w:color w:val="000000"/>
          <w:shd w:val="clear" w:color="auto" w:fill="FFFFFF"/>
        </w:rPr>
        <w:t xml:space="preserve">cascading </w:t>
      </w:r>
      <w:r>
        <w:rPr>
          <w:color w:val="000000"/>
          <w:shd w:val="clear" w:color="auto" w:fill="FFFFFF"/>
        </w:rPr>
        <w:t>crisis ha</w:t>
      </w:r>
      <w:r w:rsidR="0061274C">
        <w:rPr>
          <w:color w:val="000000"/>
          <w:shd w:val="clear" w:color="auto" w:fill="FFFFFF"/>
        </w:rPr>
        <w:t>ve</w:t>
      </w:r>
      <w:r>
        <w:rPr>
          <w:color w:val="000000"/>
          <w:shd w:val="clear" w:color="auto" w:fill="FFFFFF"/>
        </w:rPr>
        <w:t xml:space="preserve"> revealed the world’s shared vulnerability and interconnectedness. It has exposed human rights concerns and worsened deep fragilities and inequalities and has severely tested our leadership and institutional frameworks at local, national, regional and global levels. It has brought us together leading to a move from whole of government approach to whole of society approach at a much larger scale. Digitalization and innovation have bridged the response to ensure continuity of social public services such as education, health, social services, and partnership between institutions and people they serve have strengthen across the world. </w:t>
      </w:r>
    </w:p>
    <w:p w14:paraId="3233EDEE" w14:textId="77777777" w:rsidR="002026F6" w:rsidRDefault="002026F6" w:rsidP="002026F6">
      <w:pPr>
        <w:ind w:right="272"/>
        <w:jc w:val="both"/>
        <w:rPr>
          <w:rFonts w:ascii="Lato" w:eastAsia="Lato" w:hAnsi="Lato" w:cs="Lato"/>
          <w:b/>
          <w:sz w:val="16"/>
          <w:szCs w:val="16"/>
          <w:lang w:val="en-GB"/>
        </w:rPr>
      </w:pPr>
    </w:p>
    <w:p w14:paraId="314C205D" w14:textId="536704E7" w:rsidR="008B2F83" w:rsidRDefault="001C2A58" w:rsidP="002026F6">
      <w:pPr>
        <w:ind w:right="272"/>
        <w:jc w:val="both"/>
        <w:rPr>
          <w:color w:val="000000"/>
          <w:shd w:val="clear" w:color="auto" w:fill="FFFFFF"/>
        </w:rPr>
      </w:pPr>
      <w:r>
        <w:rPr>
          <w:color w:val="000000"/>
          <w:shd w:val="clear" w:color="auto" w:fill="FFFFFF"/>
        </w:rPr>
        <w:t xml:space="preserve">“Now is the time to renew the social contract between governments and their people and within societies, to rebuild trust and embrace a comprehensive vision of human rights. People need to see results…it should include updated governance arrangements to deliver better public goods and usher in the new era of universal social protection, health coverage, education, skills, decent work and </w:t>
      </w:r>
    </w:p>
    <w:p w14:paraId="376DBAA3" w14:textId="77777777" w:rsidR="008B2F83" w:rsidRPr="0063604A" w:rsidRDefault="008B2F83" w:rsidP="0063604A">
      <w:pPr>
        <w:ind w:right="272"/>
        <w:jc w:val="both"/>
        <w:rPr>
          <w:color w:val="000000"/>
          <w:sz w:val="16"/>
          <w:szCs w:val="16"/>
          <w:shd w:val="clear" w:color="auto" w:fill="FFFFFF"/>
        </w:rPr>
      </w:pPr>
    </w:p>
    <w:p w14:paraId="6D9FB94F" w14:textId="77777777" w:rsidR="009E539B" w:rsidRDefault="001C2A58" w:rsidP="0061274C">
      <w:pPr>
        <w:ind w:right="272"/>
        <w:jc w:val="both"/>
        <w:rPr>
          <w:color w:val="000000"/>
          <w:shd w:val="clear" w:color="auto" w:fill="FFFFFF"/>
        </w:rPr>
      </w:pPr>
      <w:r>
        <w:rPr>
          <w:color w:val="000000"/>
          <w:shd w:val="clear" w:color="auto" w:fill="FFFFFF"/>
        </w:rPr>
        <w:t>housing, as well as universal access to the internet as a basic human right” – Our Common Agenda, Report of the Secretary General of the United Nations, 2021</w:t>
      </w:r>
      <w:r>
        <w:rPr>
          <w:rStyle w:val="FootnoteReference"/>
          <w:color w:val="000000"/>
          <w:shd w:val="clear" w:color="auto" w:fill="FFFFFF"/>
        </w:rPr>
        <w:footnoteReference w:id="1"/>
      </w:r>
      <w:r w:rsidR="004C7B6D">
        <w:rPr>
          <w:color w:val="000000"/>
          <w:shd w:val="clear" w:color="auto" w:fill="FFFFFF"/>
        </w:rPr>
        <w:t>.</w:t>
      </w:r>
      <w:r w:rsidR="009E539B">
        <w:rPr>
          <w:color w:val="000000"/>
          <w:shd w:val="clear" w:color="auto" w:fill="FFFFFF"/>
        </w:rPr>
        <w:t xml:space="preserve"> </w:t>
      </w:r>
    </w:p>
    <w:p w14:paraId="257E0B1E" w14:textId="77777777" w:rsidR="009E539B" w:rsidRDefault="009E539B" w:rsidP="009E539B">
      <w:pPr>
        <w:ind w:left="142" w:right="272"/>
        <w:jc w:val="both"/>
        <w:rPr>
          <w:color w:val="000000"/>
          <w:shd w:val="clear" w:color="auto" w:fill="FFFFFF"/>
        </w:rPr>
      </w:pPr>
    </w:p>
    <w:p w14:paraId="1910D3E8" w14:textId="5BA794CE" w:rsidR="00DB0978" w:rsidRDefault="001C2A58" w:rsidP="0061274C">
      <w:pPr>
        <w:ind w:right="272"/>
        <w:jc w:val="both"/>
        <w:rPr>
          <w:color w:val="000000"/>
          <w:shd w:val="clear" w:color="auto" w:fill="FFFFFF"/>
        </w:rPr>
      </w:pPr>
      <w:r>
        <w:rPr>
          <w:color w:val="000000"/>
          <w:shd w:val="clear" w:color="auto" w:fill="FFFFFF"/>
        </w:rPr>
        <w:t xml:space="preserve">In his report, the Secretary General of the United Nations recognizes that there is a growing discontent between people and institutions that serve them, with many </w:t>
      </w:r>
      <w:r w:rsidR="00EE54C4">
        <w:rPr>
          <w:color w:val="000000"/>
          <w:shd w:val="clear" w:color="auto" w:fill="FFFFFF"/>
        </w:rPr>
        <w:t>feeling they are</w:t>
      </w:r>
      <w:r w:rsidR="004C7B6D">
        <w:rPr>
          <w:color w:val="000000"/>
          <w:shd w:val="clear" w:color="auto" w:fill="FFFFFF"/>
        </w:rPr>
        <w:t xml:space="preserve"> </w:t>
      </w:r>
      <w:r>
        <w:rPr>
          <w:color w:val="000000"/>
          <w:shd w:val="clear" w:color="auto" w:fill="FFFFFF"/>
        </w:rPr>
        <w:t>left behind, there is an even deeper crisis of trust leading to an increase in social movements around the world. The report highlights the need for a renewed social contract anchored in human rights and fit for</w:t>
      </w:r>
      <w:r w:rsidR="00B32DE2">
        <w:rPr>
          <w:color w:val="000000"/>
          <w:shd w:val="clear" w:color="auto" w:fill="FFFFFF"/>
        </w:rPr>
        <w:t xml:space="preserve"> </w:t>
      </w:r>
      <w:r>
        <w:rPr>
          <w:color w:val="000000"/>
          <w:shd w:val="clear" w:color="auto" w:fill="FFFFFF"/>
        </w:rPr>
        <w:t>21</w:t>
      </w:r>
      <w:r w:rsidRPr="00946466">
        <w:rPr>
          <w:color w:val="000000"/>
          <w:shd w:val="clear" w:color="auto" w:fill="FFFFFF"/>
          <w:vertAlign w:val="superscript"/>
        </w:rPr>
        <w:t>st</w:t>
      </w:r>
      <w:r>
        <w:rPr>
          <w:color w:val="000000"/>
          <w:shd w:val="clear" w:color="auto" w:fill="FFFFFF"/>
        </w:rPr>
        <w:t xml:space="preserve"> century. Its </w:t>
      </w:r>
    </w:p>
    <w:p w14:paraId="7C5419A7" w14:textId="32E868FF" w:rsidR="001C2A58" w:rsidRPr="009E539B" w:rsidRDefault="001C2A58" w:rsidP="009E539B">
      <w:pPr>
        <w:ind w:right="272"/>
        <w:jc w:val="both"/>
        <w:rPr>
          <w:color w:val="000000"/>
          <w:shd w:val="clear" w:color="auto" w:fill="FFFFFF"/>
        </w:rPr>
      </w:pPr>
      <w:r>
        <w:rPr>
          <w:color w:val="000000"/>
          <w:shd w:val="clear" w:color="auto" w:fill="FFFFFF"/>
        </w:rPr>
        <w:t xml:space="preserve">three foundations would be (i) building trust, (ii) ensuring inclusion, protection, and participation, as well as (iii) measuring and valuing what matters to people and the planet form the three foundations of the renewed social contract. </w:t>
      </w:r>
    </w:p>
    <w:p w14:paraId="7002295B" w14:textId="77777777" w:rsidR="004C7B6D" w:rsidRPr="0063604A" w:rsidRDefault="004C7B6D" w:rsidP="00482A6B">
      <w:pPr>
        <w:ind w:left="142" w:right="272"/>
        <w:jc w:val="both"/>
        <w:rPr>
          <w:sz w:val="16"/>
          <w:szCs w:val="16"/>
        </w:rPr>
      </w:pPr>
    </w:p>
    <w:p w14:paraId="6989EB2B" w14:textId="28B743E0" w:rsidR="001C2A58" w:rsidRDefault="001C2A58" w:rsidP="00B32DE2">
      <w:pPr>
        <w:ind w:right="272"/>
        <w:jc w:val="both"/>
      </w:pPr>
      <w:r>
        <w:t>UNDESA Policy Brief #75</w:t>
      </w:r>
      <w:r>
        <w:rPr>
          <w:rStyle w:val="FootnoteReference"/>
        </w:rPr>
        <w:footnoteReference w:id="2"/>
      </w:r>
      <w:r w:rsidR="004C7B6D">
        <w:t xml:space="preserve"> </w:t>
      </w:r>
      <w:r>
        <w:t>COVID-19: Reaffirming state-people governance relationships discusses the role of effective governance</w:t>
      </w:r>
      <w:r w:rsidR="004C7B6D">
        <w:rPr>
          <w:rStyle w:val="FootnoteReference"/>
        </w:rPr>
        <w:footnoteReference w:id="3"/>
      </w:r>
      <w:r>
        <w:t>, in particular the role of the relationship between the state and people, in building countries’ resilience and in responding to and managing nation and international-wide crisis. It highlights the interrelationships of resilience and effective governance as critical in shaping public policy and determining government responses, strategies, and approaches in tackling the crisis. Failure to deliver what people need most, including basic public services leads to mistrust, regardless how open institutions are to public concerns, highly affecting the trust.</w:t>
      </w:r>
      <w:bookmarkStart w:id="0" w:name="_Hlk87274645"/>
    </w:p>
    <w:p w14:paraId="68D1778F" w14:textId="77777777" w:rsidR="00734B7E" w:rsidRPr="0063604A" w:rsidRDefault="00734B7E" w:rsidP="00482A6B">
      <w:pPr>
        <w:ind w:left="142" w:right="272"/>
        <w:jc w:val="both"/>
        <w:rPr>
          <w:color w:val="000000"/>
          <w:sz w:val="16"/>
          <w:szCs w:val="16"/>
          <w:shd w:val="clear" w:color="auto" w:fill="FFFFFF"/>
        </w:rPr>
      </w:pPr>
    </w:p>
    <w:p w14:paraId="3144A7AB" w14:textId="08CC4D9F" w:rsidR="001C2A58" w:rsidRDefault="001C2A58" w:rsidP="00B32DE2">
      <w:pPr>
        <w:ind w:right="272"/>
        <w:jc w:val="both"/>
        <w:rPr>
          <w:color w:val="000000"/>
          <w:shd w:val="clear" w:color="auto" w:fill="FFFFFF"/>
        </w:rPr>
      </w:pPr>
      <w:r>
        <w:rPr>
          <w:color w:val="000000"/>
          <w:shd w:val="clear" w:color="auto" w:fill="FFFFFF"/>
        </w:rPr>
        <w:t xml:space="preserve">The pandemic has increased the need for concerted government actions at the subnational, </w:t>
      </w:r>
      <w:proofErr w:type="gramStart"/>
      <w:r>
        <w:rPr>
          <w:color w:val="000000"/>
          <w:shd w:val="clear" w:color="auto" w:fill="FFFFFF"/>
        </w:rPr>
        <w:t>national</w:t>
      </w:r>
      <w:proofErr w:type="gramEnd"/>
      <w:r>
        <w:rPr>
          <w:color w:val="000000"/>
          <w:shd w:val="clear" w:color="auto" w:fill="FFFFFF"/>
        </w:rPr>
        <w:t xml:space="preserve"> and international levels</w:t>
      </w:r>
      <w:r>
        <w:rPr>
          <w:rStyle w:val="FootnoteReference"/>
          <w:color w:val="000000"/>
          <w:shd w:val="clear" w:color="auto" w:fill="FFFFFF"/>
        </w:rPr>
        <w:footnoteReference w:id="4"/>
      </w:r>
      <w:r>
        <w:rPr>
          <w:color w:val="000000"/>
          <w:shd w:val="clear" w:color="auto" w:fill="FFFFFF"/>
        </w:rPr>
        <w:t>. Effective responses require the acceleration of governance reforms, aiming to increase their capacities to respond to economic, social and environmental shocks. The pandemic has exacerbated multidimensional inequalities and innovative approaches are needed to tackle the challenges and turn them into opportunities.</w:t>
      </w:r>
    </w:p>
    <w:p w14:paraId="1AFE8B84" w14:textId="77777777" w:rsidR="00734B7E" w:rsidRPr="008B2F83" w:rsidRDefault="00734B7E" w:rsidP="00482A6B">
      <w:pPr>
        <w:ind w:left="142" w:right="272"/>
        <w:jc w:val="both"/>
        <w:rPr>
          <w:sz w:val="16"/>
          <w:szCs w:val="16"/>
        </w:rPr>
      </w:pPr>
    </w:p>
    <w:p w14:paraId="1E9EEED8" w14:textId="77777777" w:rsidR="0063604A" w:rsidRDefault="001C2A58" w:rsidP="00B32DE2">
      <w:pPr>
        <w:ind w:right="272"/>
        <w:jc w:val="both"/>
        <w:rPr>
          <w:color w:val="000000"/>
          <w:shd w:val="clear" w:color="auto" w:fill="FFFFFF"/>
        </w:rPr>
      </w:pPr>
      <w:r>
        <w:rPr>
          <w:color w:val="000000"/>
          <w:shd w:val="clear" w:color="auto" w:fill="FFFFFF"/>
        </w:rPr>
        <w:lastRenderedPageBreak/>
        <w:t>Resilience and effective governance go hand in hand and are key elements of the 2030 Agenda for Sustainable Development</w:t>
      </w:r>
      <w:r>
        <w:rPr>
          <w:rStyle w:val="FootnoteReference"/>
          <w:color w:val="000000"/>
          <w:shd w:val="clear" w:color="auto" w:fill="FFFFFF"/>
        </w:rPr>
        <w:footnoteReference w:id="5"/>
      </w:r>
      <w:r>
        <w:rPr>
          <w:color w:val="000000"/>
          <w:shd w:val="clear" w:color="auto" w:fill="FFFFFF"/>
        </w:rPr>
        <w:t>. Its 17 Sustainable Development Goals (SDGs) provide for a global transformational vision/strategy aiming to build resilient societies that are based on the values of equity, equality, inclusion, integration, accountability, collaboration, partnership, justice, peace and security.</w:t>
      </w:r>
      <w:bookmarkEnd w:id="0"/>
    </w:p>
    <w:p w14:paraId="1D478415" w14:textId="77777777" w:rsidR="0063604A" w:rsidRPr="0063604A" w:rsidRDefault="0063604A" w:rsidP="0063604A">
      <w:pPr>
        <w:ind w:left="142" w:right="272"/>
        <w:jc w:val="both"/>
        <w:rPr>
          <w:color w:val="000000"/>
          <w:sz w:val="16"/>
          <w:szCs w:val="16"/>
          <w:shd w:val="clear" w:color="auto" w:fill="FFFFFF"/>
        </w:rPr>
      </w:pPr>
    </w:p>
    <w:p w14:paraId="7A28F51A" w14:textId="6390FFAC" w:rsidR="00B32DE2" w:rsidRDefault="001C2A58" w:rsidP="009E539B">
      <w:pPr>
        <w:ind w:right="272"/>
        <w:jc w:val="both"/>
        <w:rPr>
          <w:color w:val="000000"/>
          <w:shd w:val="clear" w:color="auto" w:fill="FFFFFF"/>
        </w:rPr>
      </w:pPr>
      <w:r>
        <w:rPr>
          <w:color w:val="000000"/>
          <w:shd w:val="clear" w:color="auto" w:fill="FFFFFF"/>
        </w:rPr>
        <w:t>The report of 20</w:t>
      </w:r>
      <w:r w:rsidRPr="00020269">
        <w:rPr>
          <w:color w:val="000000"/>
          <w:shd w:val="clear" w:color="auto" w:fill="FFFFFF"/>
          <w:vertAlign w:val="superscript"/>
        </w:rPr>
        <w:t>th</w:t>
      </w:r>
      <w:r>
        <w:rPr>
          <w:color w:val="000000"/>
          <w:shd w:val="clear" w:color="auto" w:fill="FFFFFF"/>
        </w:rPr>
        <w:t xml:space="preserve"> session of </w:t>
      </w:r>
      <w:r w:rsidR="00734B7E">
        <w:rPr>
          <w:color w:val="000000"/>
          <w:shd w:val="clear" w:color="auto" w:fill="FFFFFF"/>
        </w:rPr>
        <w:t>the United Nations Committee of Experts on Public Administration (</w:t>
      </w:r>
      <w:r>
        <w:rPr>
          <w:color w:val="000000"/>
          <w:shd w:val="clear" w:color="auto" w:fill="FFFFFF"/>
        </w:rPr>
        <w:t>CEPA</w:t>
      </w:r>
      <w:r w:rsidR="00734B7E">
        <w:rPr>
          <w:color w:val="000000"/>
          <w:shd w:val="clear" w:color="auto" w:fill="FFFFFF"/>
        </w:rPr>
        <w:t>)</w:t>
      </w:r>
      <w:r>
        <w:rPr>
          <w:color w:val="000000"/>
          <w:shd w:val="clear" w:color="auto" w:fill="FFFFFF"/>
        </w:rPr>
        <w:t>, April 2021</w:t>
      </w:r>
      <w:r>
        <w:rPr>
          <w:rStyle w:val="FootnoteReference"/>
          <w:color w:val="000000"/>
          <w:shd w:val="clear" w:color="auto" w:fill="FFFFFF"/>
        </w:rPr>
        <w:footnoteReference w:id="6"/>
      </w:r>
      <w:r>
        <w:rPr>
          <w:color w:val="000000"/>
          <w:shd w:val="clear" w:color="auto" w:fill="FFFFFF"/>
        </w:rPr>
        <w:t xml:space="preserve"> (E/2021/44; E/C.16/2021/7) highlights the importance of placing the 2030 Agenda for Sustainable development at the center of its work and advise on how public administration can support the implementation and progress reviews of the sustainable development goals.</w:t>
      </w:r>
    </w:p>
    <w:p w14:paraId="6C58F215" w14:textId="77777777" w:rsidR="009E539B" w:rsidRPr="00DB0978" w:rsidRDefault="009E539B" w:rsidP="009E539B">
      <w:pPr>
        <w:ind w:right="272"/>
        <w:jc w:val="both"/>
        <w:rPr>
          <w:color w:val="000000"/>
          <w:sz w:val="8"/>
          <w:szCs w:val="8"/>
          <w:shd w:val="clear" w:color="auto" w:fill="FFFFFF"/>
        </w:rPr>
      </w:pPr>
    </w:p>
    <w:p w14:paraId="2CA1C4F6" w14:textId="06F7D2A7" w:rsidR="001C2A58" w:rsidRDefault="001C2A58" w:rsidP="009E539B">
      <w:pPr>
        <w:ind w:right="272"/>
        <w:jc w:val="both"/>
        <w:rPr>
          <w:color w:val="000000"/>
          <w:shd w:val="clear" w:color="auto" w:fill="FFFFFF"/>
        </w:rPr>
      </w:pPr>
      <w:r>
        <w:rPr>
          <w:color w:val="000000"/>
          <w:shd w:val="clear" w:color="auto" w:fill="FFFFFF"/>
        </w:rPr>
        <w:t xml:space="preserve">The principles of effective governance for sustainable development, as defined by the </w:t>
      </w:r>
      <w:proofErr w:type="spellStart"/>
      <w:r w:rsidR="00734B7E">
        <w:rPr>
          <w:color w:val="000000"/>
          <w:shd w:val="clear" w:color="auto" w:fill="FFFFFF"/>
        </w:rPr>
        <w:t>Uniteds</w:t>
      </w:r>
      <w:proofErr w:type="spellEnd"/>
      <w:r w:rsidR="00734B7E">
        <w:rPr>
          <w:color w:val="000000"/>
          <w:shd w:val="clear" w:color="auto" w:fill="FFFFFF"/>
        </w:rPr>
        <w:t xml:space="preserve"> Nations CEPA</w:t>
      </w:r>
      <w:r>
        <w:rPr>
          <w:rStyle w:val="FootnoteReference"/>
          <w:color w:val="000000"/>
          <w:shd w:val="clear" w:color="auto" w:fill="FFFFFF"/>
        </w:rPr>
        <w:footnoteReference w:id="7"/>
      </w:r>
      <w:r>
        <w:rPr>
          <w:color w:val="000000"/>
          <w:shd w:val="clear" w:color="auto" w:fill="FFFFFF"/>
        </w:rPr>
        <w:t xml:space="preserve"> provide a roadmap in achieving UN development Agendas including SDGs, Paris Agreement, </w:t>
      </w:r>
      <w:r w:rsidR="00734B7E">
        <w:rPr>
          <w:color w:val="000000"/>
          <w:shd w:val="clear" w:color="auto" w:fill="FFFFFF"/>
        </w:rPr>
        <w:t xml:space="preserve">New Urban Agenda, </w:t>
      </w:r>
      <w:r>
        <w:rPr>
          <w:color w:val="000000"/>
          <w:shd w:val="clear" w:color="auto" w:fill="FFFFFF"/>
        </w:rPr>
        <w:t>and so on. Implementation of such principles can guide countries towards whole-of-government and whole-of-society approaches, leading to structural and systemic changes for the better.</w:t>
      </w:r>
      <w:r>
        <w:t xml:space="preserve"> </w:t>
      </w:r>
      <w:r>
        <w:rPr>
          <w:color w:val="000000"/>
          <w:shd w:val="clear" w:color="auto" w:fill="FFFFFF"/>
        </w:rPr>
        <w:t>The United Nations CEPA outlined 11 principles of effective governance</w:t>
      </w:r>
      <w:r>
        <w:rPr>
          <w:rStyle w:val="FootnoteReference"/>
          <w:color w:val="000000"/>
          <w:shd w:val="clear" w:color="auto" w:fill="FFFFFF"/>
        </w:rPr>
        <w:footnoteReference w:id="8"/>
      </w:r>
      <w:r>
        <w:rPr>
          <w:color w:val="000000"/>
          <w:shd w:val="clear" w:color="auto" w:fill="FFFFFF"/>
        </w:rPr>
        <w:t>, categorized into three groups: (i) effectiveness</w:t>
      </w:r>
      <w:r w:rsidR="00734B7E">
        <w:rPr>
          <w:color w:val="000000"/>
          <w:shd w:val="clear" w:color="auto" w:fill="FFFFFF"/>
        </w:rPr>
        <w:t xml:space="preserve">: </w:t>
      </w:r>
      <w:r>
        <w:rPr>
          <w:color w:val="000000"/>
          <w:shd w:val="clear" w:color="auto" w:fill="FFFFFF"/>
        </w:rPr>
        <w:t>competence, sound policymaking, and collaboration; (ii) accountability</w:t>
      </w:r>
      <w:r w:rsidR="00734B7E">
        <w:rPr>
          <w:color w:val="000000"/>
          <w:shd w:val="clear" w:color="auto" w:fill="FFFFFF"/>
        </w:rPr>
        <w:t xml:space="preserve">: </w:t>
      </w:r>
      <w:r>
        <w:rPr>
          <w:color w:val="000000"/>
          <w:shd w:val="clear" w:color="auto" w:fill="FFFFFF"/>
        </w:rPr>
        <w:t>integrity, transparency and independent oversight; (iii) inclusiveness</w:t>
      </w:r>
      <w:r w:rsidR="00734B7E">
        <w:rPr>
          <w:color w:val="000000"/>
          <w:shd w:val="clear" w:color="auto" w:fill="FFFFFF"/>
        </w:rPr>
        <w:t>: L</w:t>
      </w:r>
      <w:r>
        <w:rPr>
          <w:color w:val="000000"/>
          <w:shd w:val="clear" w:color="auto" w:fill="FFFFFF"/>
        </w:rPr>
        <w:t>eaving no on behind, non-discrimination, participation, subsidiarity and intergenerational equity.</w:t>
      </w:r>
    </w:p>
    <w:p w14:paraId="20196F5A" w14:textId="77777777" w:rsidR="009E539B" w:rsidRDefault="009E539B" w:rsidP="00482A6B">
      <w:pPr>
        <w:ind w:left="142" w:right="272"/>
        <w:jc w:val="both"/>
        <w:rPr>
          <w:color w:val="000000"/>
          <w:sz w:val="16"/>
          <w:szCs w:val="16"/>
          <w:shd w:val="clear" w:color="auto" w:fill="FFFFFF"/>
        </w:rPr>
      </w:pPr>
    </w:p>
    <w:p w14:paraId="026F0CDD" w14:textId="77777777" w:rsidR="0063604A" w:rsidRPr="0063604A" w:rsidRDefault="0063604A" w:rsidP="00482A6B">
      <w:pPr>
        <w:ind w:left="142" w:right="272"/>
        <w:jc w:val="both"/>
        <w:rPr>
          <w:color w:val="000000"/>
          <w:sz w:val="16"/>
          <w:szCs w:val="16"/>
          <w:shd w:val="clear" w:color="auto" w:fill="FFFFFF"/>
        </w:rPr>
      </w:pPr>
    </w:p>
    <w:p w14:paraId="4950325D" w14:textId="32511F1F" w:rsidR="001C2A58" w:rsidRPr="0063604A" w:rsidRDefault="000604CA" w:rsidP="0063604A">
      <w:pPr>
        <w:pStyle w:val="ListParagraph"/>
        <w:numPr>
          <w:ilvl w:val="0"/>
          <w:numId w:val="22"/>
        </w:numPr>
        <w:tabs>
          <w:tab w:val="left" w:pos="284"/>
        </w:tabs>
        <w:spacing w:line="240" w:lineRule="auto"/>
        <w:ind w:left="142" w:right="272" w:hanging="142"/>
        <w:jc w:val="both"/>
        <w:rPr>
          <w:rFonts w:ascii="Times New Roman" w:hAnsi="Times New Roman" w:cs="Times New Roman"/>
          <w:b/>
          <w:bCs/>
          <w:color w:val="000000"/>
          <w:sz w:val="28"/>
          <w:szCs w:val="28"/>
          <w:shd w:val="clear" w:color="auto" w:fill="FFFFFF"/>
        </w:rPr>
      </w:pPr>
      <w:r w:rsidRPr="0063604A">
        <w:rPr>
          <w:rFonts w:ascii="Times New Roman" w:hAnsi="Times New Roman" w:cs="Times New Roman"/>
          <w:b/>
          <w:bCs/>
          <w:color w:val="000000"/>
          <w:sz w:val="28"/>
          <w:szCs w:val="28"/>
          <w:shd w:val="clear" w:color="auto" w:fill="FFFFFF"/>
        </w:rPr>
        <w:t>Main Approach</w:t>
      </w:r>
    </w:p>
    <w:p w14:paraId="4E466740" w14:textId="77777777" w:rsidR="0084580C" w:rsidRDefault="0084580C" w:rsidP="00C17B75">
      <w:pPr>
        <w:ind w:right="272"/>
        <w:jc w:val="both"/>
        <w:rPr>
          <w:color w:val="000000"/>
          <w:shd w:val="clear" w:color="auto" w:fill="FFFFFF"/>
        </w:rPr>
      </w:pPr>
    </w:p>
    <w:p w14:paraId="3C99ECA5" w14:textId="4478183B" w:rsidR="004805A5" w:rsidRPr="004805A5" w:rsidRDefault="001C2A58" w:rsidP="00C17B75">
      <w:pPr>
        <w:ind w:right="272"/>
        <w:jc w:val="both"/>
        <w:rPr>
          <w:color w:val="000000"/>
          <w:shd w:val="clear" w:color="auto" w:fill="FFFFFF"/>
        </w:rPr>
      </w:pPr>
      <w:r w:rsidRPr="001C2A58">
        <w:rPr>
          <w:color w:val="000000"/>
          <w:shd w:val="clear" w:color="auto" w:fill="FFFFFF"/>
        </w:rPr>
        <w:t xml:space="preserve">It is against the </w:t>
      </w:r>
      <w:proofErr w:type="gramStart"/>
      <w:r w:rsidRPr="001C2A58">
        <w:rPr>
          <w:color w:val="000000"/>
          <w:shd w:val="clear" w:color="auto" w:fill="FFFFFF"/>
        </w:rPr>
        <w:t>above mentioned</w:t>
      </w:r>
      <w:proofErr w:type="gramEnd"/>
      <w:r w:rsidRPr="001C2A58">
        <w:rPr>
          <w:color w:val="000000"/>
          <w:shd w:val="clear" w:color="auto" w:fill="FFFFFF"/>
        </w:rPr>
        <w:t xml:space="preserve"> backdrop, that the </w:t>
      </w:r>
      <w:r w:rsidR="0061274C">
        <w:rPr>
          <w:color w:val="000000"/>
          <w:shd w:val="clear" w:color="auto" w:fill="FFFFFF"/>
        </w:rPr>
        <w:t>8</w:t>
      </w:r>
      <w:r w:rsidR="0061274C" w:rsidRPr="0061274C">
        <w:rPr>
          <w:color w:val="000000"/>
          <w:shd w:val="clear" w:color="auto" w:fill="FFFFFF"/>
          <w:vertAlign w:val="superscript"/>
        </w:rPr>
        <w:t>th</w:t>
      </w:r>
      <w:r w:rsidR="0061274C">
        <w:rPr>
          <w:color w:val="000000"/>
          <w:shd w:val="clear" w:color="auto" w:fill="FFFFFF"/>
        </w:rPr>
        <w:t xml:space="preserve"> Annual Conference of African Public Service-Human Resource Managers Network (</w:t>
      </w:r>
      <w:proofErr w:type="spellStart"/>
      <w:r w:rsidR="0061274C">
        <w:rPr>
          <w:color w:val="000000"/>
          <w:shd w:val="clear" w:color="auto" w:fill="FFFFFF"/>
        </w:rPr>
        <w:t>APS_HRMnet</w:t>
      </w:r>
      <w:proofErr w:type="spellEnd"/>
      <w:r w:rsidR="0061274C">
        <w:rPr>
          <w:color w:val="000000"/>
          <w:shd w:val="clear" w:color="auto" w:fill="FFFFFF"/>
        </w:rPr>
        <w:t xml:space="preserve">) 2023 </w:t>
      </w:r>
      <w:r w:rsidRPr="001C2A58">
        <w:rPr>
          <w:color w:val="000000"/>
          <w:shd w:val="clear" w:color="auto" w:fill="FFFFFF"/>
        </w:rPr>
        <w:t xml:space="preserve">will bring together </w:t>
      </w:r>
      <w:r w:rsidR="00C17B75">
        <w:rPr>
          <w:color w:val="000000"/>
          <w:shd w:val="clear" w:color="auto" w:fill="FFFFFF"/>
        </w:rPr>
        <w:t>t</w:t>
      </w:r>
      <w:r w:rsidR="0061274C">
        <w:rPr>
          <w:color w:val="000000"/>
          <w:shd w:val="clear" w:color="auto" w:fill="FFFFFF"/>
        </w:rPr>
        <w:t xml:space="preserve">he human resource community of Africa and other key actors and stakeholders, including </w:t>
      </w:r>
      <w:r w:rsidR="004805A5">
        <w:rPr>
          <w:color w:val="000000"/>
          <w:shd w:val="clear" w:color="auto" w:fill="FFFFFF"/>
        </w:rPr>
        <w:t xml:space="preserve">academicians, civil society representatives, private sector representatives, training and research institutes, public sector management specialist, and development partners. </w:t>
      </w:r>
    </w:p>
    <w:p w14:paraId="19C56B5E" w14:textId="77777777" w:rsidR="00332C1B" w:rsidRPr="0063604A" w:rsidRDefault="00332C1B" w:rsidP="009E539B">
      <w:pPr>
        <w:ind w:right="272"/>
        <w:rPr>
          <w:rFonts w:ascii="Calibri" w:hAnsi="Calibri"/>
          <w:sz w:val="16"/>
          <w:szCs w:val="16"/>
          <w:lang w:val="en-GB" w:eastAsia="en-GB"/>
        </w:rPr>
      </w:pPr>
    </w:p>
    <w:p w14:paraId="144001C9" w14:textId="435EE106" w:rsidR="004C762D" w:rsidRDefault="00332C1B" w:rsidP="00C17B75">
      <w:pPr>
        <w:ind w:right="272"/>
        <w:jc w:val="both"/>
        <w:rPr>
          <w:lang w:val="en-GB" w:eastAsia="en-GB"/>
        </w:rPr>
      </w:pPr>
      <w:r w:rsidRPr="001C2A58">
        <w:rPr>
          <w:lang w:val="en-GB" w:eastAsia="en-GB"/>
        </w:rPr>
        <w:t>Th</w:t>
      </w:r>
      <w:r w:rsidR="001C2A58" w:rsidRPr="001C2A58">
        <w:rPr>
          <w:lang w:val="en-GB" w:eastAsia="en-GB"/>
        </w:rPr>
        <w:t xml:space="preserve">e </w:t>
      </w:r>
      <w:r w:rsidR="006140EE">
        <w:rPr>
          <w:lang w:val="en-GB" w:eastAsia="en-GB"/>
        </w:rPr>
        <w:t xml:space="preserve">Joint </w:t>
      </w:r>
      <w:r w:rsidR="00EE54C4">
        <w:rPr>
          <w:lang w:val="en-GB" w:eastAsia="en-GB"/>
        </w:rPr>
        <w:t>Capacity Development Workshop</w:t>
      </w:r>
      <w:r w:rsidR="001C2A58" w:rsidRPr="001C2A58">
        <w:rPr>
          <w:lang w:val="en-GB" w:eastAsia="en-GB"/>
        </w:rPr>
        <w:t xml:space="preserve"> will offer the much-needed discussion platform for key </w:t>
      </w:r>
      <w:r w:rsidR="00F87514">
        <w:rPr>
          <w:lang w:val="en-GB" w:eastAsia="en-GB"/>
        </w:rPr>
        <w:t xml:space="preserve">human resources managers and their national and international partners </w:t>
      </w:r>
      <w:r w:rsidR="001C2A58" w:rsidRPr="001C2A58">
        <w:rPr>
          <w:lang w:val="en-GB" w:eastAsia="en-GB"/>
        </w:rPr>
        <w:t xml:space="preserve">to discuss the main challenges and </w:t>
      </w:r>
      <w:proofErr w:type="spellStart"/>
      <w:r w:rsidR="001C2A58" w:rsidRPr="001C2A58">
        <w:rPr>
          <w:lang w:val="en-GB" w:eastAsia="en-GB"/>
        </w:rPr>
        <w:t>opportunitie</w:t>
      </w:r>
      <w:proofErr w:type="spellEnd"/>
      <w:r w:rsidR="004805A5">
        <w:rPr>
          <w:lang w:val="en-GB" w:eastAsia="en-GB"/>
        </w:rPr>
        <w:t xml:space="preserve"> and share insights on how </w:t>
      </w:r>
      <w:r w:rsidR="0084580C">
        <w:rPr>
          <w:lang w:val="en-GB" w:eastAsia="en-GB"/>
        </w:rPr>
        <w:t xml:space="preserve">to reaffirm state-people governance relationships through the lenses of Human Resources Managers in </w:t>
      </w:r>
      <w:proofErr w:type="gramStart"/>
      <w:r w:rsidR="0084580C">
        <w:rPr>
          <w:lang w:val="en-GB" w:eastAsia="en-GB"/>
        </w:rPr>
        <w:t>Africa</w:t>
      </w:r>
      <w:r w:rsidR="002026F6">
        <w:rPr>
          <w:lang w:val="en-GB" w:eastAsia="en-GB"/>
        </w:rPr>
        <w:t>.</w:t>
      </w:r>
      <w:r w:rsidR="0084580C">
        <w:rPr>
          <w:lang w:val="en-GB" w:eastAsia="en-GB"/>
        </w:rPr>
        <w:t>.</w:t>
      </w:r>
      <w:proofErr w:type="gramEnd"/>
      <w:r w:rsidR="0084580C">
        <w:rPr>
          <w:lang w:val="en-GB" w:eastAsia="en-GB"/>
        </w:rPr>
        <w:t xml:space="preserve"> </w:t>
      </w:r>
    </w:p>
    <w:p w14:paraId="3BE90086" w14:textId="77777777" w:rsidR="004C762D" w:rsidRDefault="004C762D" w:rsidP="00C17B75">
      <w:pPr>
        <w:ind w:right="272"/>
        <w:jc w:val="both"/>
        <w:rPr>
          <w:lang w:val="en-GB" w:eastAsia="en-GB"/>
        </w:rPr>
      </w:pPr>
    </w:p>
    <w:p w14:paraId="4E8C650D" w14:textId="77777777" w:rsidR="004C762D" w:rsidRDefault="0084580C" w:rsidP="00C17B75">
      <w:pPr>
        <w:ind w:right="272"/>
        <w:jc w:val="both"/>
        <w:rPr>
          <w:lang w:val="en-GB" w:eastAsia="en-GB"/>
        </w:rPr>
      </w:pPr>
      <w:r>
        <w:rPr>
          <w:lang w:val="en-GB" w:eastAsia="en-GB"/>
        </w:rPr>
        <w:t xml:space="preserve">It will </w:t>
      </w:r>
      <w:proofErr w:type="gramStart"/>
      <w:r>
        <w:rPr>
          <w:lang w:val="en-GB" w:eastAsia="en-GB"/>
        </w:rPr>
        <w:t>developed</w:t>
      </w:r>
      <w:proofErr w:type="gramEnd"/>
      <w:r>
        <w:rPr>
          <w:lang w:val="en-GB" w:eastAsia="en-GB"/>
        </w:rPr>
        <w:t xml:space="preserve"> throughout the conference, </w:t>
      </w:r>
      <w:r w:rsidR="004C762D">
        <w:rPr>
          <w:lang w:val="en-GB" w:eastAsia="en-GB"/>
        </w:rPr>
        <w:t>as follows:</w:t>
      </w:r>
    </w:p>
    <w:p w14:paraId="481A9459" w14:textId="77777777" w:rsidR="004C762D" w:rsidRDefault="004C762D" w:rsidP="00C17B75">
      <w:pPr>
        <w:ind w:right="272"/>
        <w:jc w:val="both"/>
        <w:rPr>
          <w:lang w:val="en-GB" w:eastAsia="en-GB"/>
        </w:rPr>
      </w:pPr>
    </w:p>
    <w:p w14:paraId="5C21E54E" w14:textId="77777777" w:rsidR="004C762D" w:rsidRDefault="004C762D" w:rsidP="00C17B75">
      <w:pPr>
        <w:ind w:right="272"/>
        <w:jc w:val="both"/>
        <w:rPr>
          <w:lang w:val="en-GB" w:eastAsia="en-GB"/>
        </w:rPr>
      </w:pPr>
      <w:r>
        <w:rPr>
          <w:lang w:val="en-GB" w:eastAsia="en-GB"/>
        </w:rPr>
        <w:t xml:space="preserve">Day One - An </w:t>
      </w:r>
      <w:r w:rsidR="0084580C">
        <w:rPr>
          <w:lang w:val="en-GB" w:eastAsia="en-GB"/>
        </w:rPr>
        <w:t>introduction during the plenary session</w:t>
      </w:r>
      <w:r>
        <w:rPr>
          <w:lang w:val="en-GB" w:eastAsia="en-GB"/>
        </w:rPr>
        <w:t xml:space="preserve"> </w:t>
      </w:r>
    </w:p>
    <w:p w14:paraId="43C21E82" w14:textId="7E5166B2" w:rsidR="004C762D" w:rsidRDefault="004C762D" w:rsidP="00C17B75">
      <w:pPr>
        <w:ind w:right="272"/>
        <w:jc w:val="both"/>
        <w:rPr>
          <w:lang w:val="en-GB" w:eastAsia="en-GB"/>
        </w:rPr>
      </w:pPr>
      <w:r>
        <w:rPr>
          <w:lang w:val="en-GB" w:eastAsia="en-GB"/>
        </w:rPr>
        <w:t>Day One – A session on “Shaping the Workforce of the Future: Human Resource Manager as a Strategy Expert”</w:t>
      </w:r>
    </w:p>
    <w:p w14:paraId="4BE0F7DF" w14:textId="5EF04ABC" w:rsidR="004C762D" w:rsidRDefault="004C762D" w:rsidP="00C17B75">
      <w:pPr>
        <w:ind w:right="272"/>
        <w:jc w:val="both"/>
        <w:rPr>
          <w:lang w:val="en-GB" w:eastAsia="en-GB"/>
        </w:rPr>
      </w:pPr>
      <w:r>
        <w:rPr>
          <w:lang w:val="en-GB" w:eastAsia="en-GB"/>
        </w:rPr>
        <w:t>Day Two – A session on “Gender and Equity: Strategies for Nurturing Public Sector Institutions that recognize and live diversity, inclusion and engagement”</w:t>
      </w:r>
    </w:p>
    <w:p w14:paraId="436FE8BC" w14:textId="103A4307" w:rsidR="007D3A2B" w:rsidRPr="007D3A2B" w:rsidRDefault="007D3A2B" w:rsidP="007D3A2B">
      <w:pPr>
        <w:jc w:val="both"/>
        <w:rPr>
          <w:rFonts w:ascii="Tw Cen MT" w:hAnsi="Tw Cen MT"/>
          <w:color w:val="000000" w:themeColor="text1"/>
          <w:sz w:val="28"/>
          <w:szCs w:val="28"/>
        </w:rPr>
      </w:pPr>
      <w:r>
        <w:rPr>
          <w:lang w:val="en-GB" w:eastAsia="en-GB"/>
        </w:rPr>
        <w:t>Day Four Leveraging on strategic partnerships to advance the whole of government approach in achieving the sustainable development goals</w:t>
      </w:r>
    </w:p>
    <w:p w14:paraId="2BC7C3CB" w14:textId="208AC7E1" w:rsidR="004C762D" w:rsidRDefault="004C762D" w:rsidP="00C17B75">
      <w:pPr>
        <w:ind w:right="272"/>
        <w:jc w:val="both"/>
        <w:rPr>
          <w:lang w:val="en-GB" w:eastAsia="en-GB"/>
        </w:rPr>
      </w:pPr>
      <w:proofErr w:type="gramStart"/>
      <w:r>
        <w:rPr>
          <w:lang w:val="en-GB" w:eastAsia="en-GB"/>
        </w:rPr>
        <w:t>Day  F</w:t>
      </w:r>
      <w:r w:rsidR="00D869C8">
        <w:rPr>
          <w:lang w:val="en-GB" w:eastAsia="en-GB"/>
        </w:rPr>
        <w:t>ive</w:t>
      </w:r>
      <w:proofErr w:type="gramEnd"/>
      <w:r>
        <w:rPr>
          <w:lang w:val="en-GB" w:eastAsia="en-GB"/>
        </w:rPr>
        <w:t xml:space="preserve"> – </w:t>
      </w:r>
      <w:r w:rsidR="006358BE">
        <w:rPr>
          <w:lang w:val="en-GB" w:eastAsia="en-GB"/>
        </w:rPr>
        <w:t xml:space="preserve">Presentations of findings/recommendations during the plenary session on </w:t>
      </w:r>
      <w:r>
        <w:rPr>
          <w:lang w:val="en-GB" w:eastAsia="en-GB"/>
        </w:rPr>
        <w:t>“Innovation as a Cornerstone for a Sustainable Public Service for the 21</w:t>
      </w:r>
      <w:r w:rsidRPr="004C762D">
        <w:rPr>
          <w:vertAlign w:val="superscript"/>
          <w:lang w:val="en-GB" w:eastAsia="en-GB"/>
        </w:rPr>
        <w:t>st</w:t>
      </w:r>
      <w:r>
        <w:rPr>
          <w:lang w:val="en-GB" w:eastAsia="en-GB"/>
        </w:rPr>
        <w:t xml:space="preserve"> Century and Beyond”</w:t>
      </w:r>
    </w:p>
    <w:p w14:paraId="21DDD859" w14:textId="25BAC354" w:rsidR="0084580C" w:rsidRDefault="0084580C" w:rsidP="00C17B75">
      <w:pPr>
        <w:ind w:right="272"/>
        <w:jc w:val="both"/>
        <w:rPr>
          <w:lang w:val="en-GB" w:eastAsia="en-GB"/>
        </w:rPr>
      </w:pPr>
    </w:p>
    <w:p w14:paraId="3200CE14" w14:textId="77777777" w:rsidR="00C17B75" w:rsidRDefault="00C17B75" w:rsidP="009E539B">
      <w:pPr>
        <w:ind w:right="272"/>
        <w:jc w:val="both"/>
        <w:rPr>
          <w:lang w:val="en-GB" w:eastAsia="en-GB"/>
        </w:rPr>
      </w:pPr>
    </w:p>
    <w:p w14:paraId="192D614F" w14:textId="77777777" w:rsidR="006358BE" w:rsidRDefault="00C17B75" w:rsidP="009E539B">
      <w:pPr>
        <w:ind w:right="272"/>
        <w:jc w:val="both"/>
        <w:rPr>
          <w:lang w:val="en-GB" w:eastAsia="en-GB"/>
        </w:rPr>
      </w:pPr>
      <w:r>
        <w:rPr>
          <w:lang w:val="en-GB" w:eastAsia="en-GB"/>
        </w:rPr>
        <w:t xml:space="preserve">The </w:t>
      </w:r>
      <w:r w:rsidR="0084580C">
        <w:rPr>
          <w:lang w:val="en-GB" w:eastAsia="en-GB"/>
        </w:rPr>
        <w:t>Capacity Development W</w:t>
      </w:r>
      <w:r>
        <w:rPr>
          <w:lang w:val="en-GB" w:eastAsia="en-GB"/>
        </w:rPr>
        <w:t xml:space="preserve">orkshop will invite </w:t>
      </w:r>
      <w:r w:rsidR="006358BE">
        <w:rPr>
          <w:lang w:val="en-GB" w:eastAsia="en-GB"/>
        </w:rPr>
        <w:t>5 experts and one resource person, all from least developing countries (</w:t>
      </w:r>
      <w:proofErr w:type="gramStart"/>
      <w:r w:rsidR="006358BE">
        <w:rPr>
          <w:lang w:val="en-GB" w:eastAsia="en-GB"/>
        </w:rPr>
        <w:t xml:space="preserve">LDCs) </w:t>
      </w:r>
      <w:r w:rsidR="0084580C">
        <w:rPr>
          <w:lang w:val="en-GB" w:eastAsia="en-GB"/>
        </w:rPr>
        <w:t xml:space="preserve"> to</w:t>
      </w:r>
      <w:proofErr w:type="gramEnd"/>
      <w:r w:rsidR="0084580C">
        <w:rPr>
          <w:lang w:val="en-GB" w:eastAsia="en-GB"/>
        </w:rPr>
        <w:t xml:space="preserve"> share their national and sub-regional experiences and lessons learnt. </w:t>
      </w:r>
      <w:r>
        <w:rPr>
          <w:lang w:val="en-GB" w:eastAsia="en-GB"/>
        </w:rPr>
        <w:t xml:space="preserve"> </w:t>
      </w:r>
    </w:p>
    <w:p w14:paraId="3BFCD7EB" w14:textId="77777777" w:rsidR="006358BE" w:rsidRDefault="006358BE" w:rsidP="009E539B">
      <w:pPr>
        <w:ind w:right="272"/>
        <w:jc w:val="both"/>
        <w:rPr>
          <w:lang w:val="en-GB" w:eastAsia="en-GB"/>
        </w:rPr>
      </w:pPr>
    </w:p>
    <w:p w14:paraId="46D5C59D" w14:textId="0D40E636" w:rsidR="001C2A58" w:rsidRDefault="006358BE" w:rsidP="009E539B">
      <w:pPr>
        <w:ind w:right="272"/>
        <w:jc w:val="both"/>
        <w:rPr>
          <w:lang w:val="en-GB" w:eastAsia="en-GB"/>
        </w:rPr>
      </w:pPr>
      <w:r>
        <w:rPr>
          <w:lang w:val="en-GB" w:eastAsia="en-GB"/>
        </w:rPr>
        <w:t>3 experts are leading the efforts of APS-</w:t>
      </w:r>
      <w:proofErr w:type="spellStart"/>
      <w:r>
        <w:rPr>
          <w:lang w:val="en-GB" w:eastAsia="en-GB"/>
        </w:rPr>
        <w:t>HRMnet</w:t>
      </w:r>
      <w:proofErr w:type="spellEnd"/>
      <w:r>
        <w:rPr>
          <w:lang w:val="en-GB" w:eastAsia="en-GB"/>
        </w:rPr>
        <w:t xml:space="preserve"> at the sub-regional levels, as Sub-regional Presidents of APS-</w:t>
      </w:r>
      <w:proofErr w:type="spellStart"/>
      <w:r>
        <w:rPr>
          <w:lang w:val="en-GB" w:eastAsia="en-GB"/>
        </w:rPr>
        <w:t>HRMnet</w:t>
      </w:r>
      <w:proofErr w:type="spellEnd"/>
      <w:r>
        <w:rPr>
          <w:lang w:val="en-GB" w:eastAsia="en-GB"/>
        </w:rPr>
        <w:t>, whom along with resource person and expert will t</w:t>
      </w:r>
      <w:r w:rsidR="001C2A58" w:rsidRPr="001C2A58">
        <w:rPr>
          <w:lang w:val="en-GB" w:eastAsia="en-GB"/>
        </w:rPr>
        <w:t>ackle some of the most challenging issues impeding the</w:t>
      </w:r>
      <w:r>
        <w:rPr>
          <w:lang w:val="en-GB" w:eastAsia="en-GB"/>
        </w:rPr>
        <w:t xml:space="preserve"> least developing countries at the intersection of state and people interrelationships, share sub-regional and national experiences on efforts to </w:t>
      </w:r>
      <w:r w:rsidR="001C2A58" w:rsidRPr="001C2A58">
        <w:rPr>
          <w:lang w:val="en-GB" w:eastAsia="en-GB"/>
        </w:rPr>
        <w:t>overcome them.</w:t>
      </w:r>
    </w:p>
    <w:p w14:paraId="064A4106" w14:textId="69AD3408" w:rsidR="00043D04" w:rsidRPr="00D33F3E" w:rsidRDefault="00043D04" w:rsidP="009E539B">
      <w:pPr>
        <w:ind w:right="272"/>
        <w:jc w:val="both"/>
        <w:rPr>
          <w:sz w:val="8"/>
          <w:szCs w:val="8"/>
          <w:lang w:val="en-GB" w:eastAsia="en-GB"/>
        </w:rPr>
      </w:pPr>
    </w:p>
    <w:p w14:paraId="1B3EB7E7" w14:textId="77777777" w:rsidR="00BC0BF1" w:rsidRDefault="00BC0BF1" w:rsidP="00BC0BF1">
      <w:pPr>
        <w:ind w:right="272"/>
        <w:jc w:val="both"/>
        <w:rPr>
          <w:lang w:val="en-GB" w:eastAsia="en-GB"/>
        </w:rPr>
      </w:pPr>
    </w:p>
    <w:p w14:paraId="50098887" w14:textId="5C329303" w:rsidR="001C2A58" w:rsidRDefault="001C2A58" w:rsidP="00BC0BF1">
      <w:pPr>
        <w:ind w:right="272"/>
        <w:jc w:val="both"/>
        <w:rPr>
          <w:lang w:val="en-GB" w:eastAsia="en-GB"/>
        </w:rPr>
      </w:pPr>
      <w:r>
        <w:rPr>
          <w:lang w:val="en-GB" w:eastAsia="en-GB"/>
        </w:rPr>
        <w:t xml:space="preserve">The </w:t>
      </w:r>
      <w:r w:rsidR="006358BE">
        <w:rPr>
          <w:lang w:val="en-GB" w:eastAsia="en-GB"/>
        </w:rPr>
        <w:t>8</w:t>
      </w:r>
      <w:r w:rsidR="006358BE" w:rsidRPr="006358BE">
        <w:rPr>
          <w:vertAlign w:val="superscript"/>
          <w:lang w:val="en-GB" w:eastAsia="en-GB"/>
        </w:rPr>
        <w:t>th</w:t>
      </w:r>
      <w:r w:rsidR="006358BE">
        <w:rPr>
          <w:lang w:val="en-GB" w:eastAsia="en-GB"/>
        </w:rPr>
        <w:t xml:space="preserve"> APS-</w:t>
      </w:r>
      <w:proofErr w:type="spellStart"/>
      <w:r w:rsidR="006358BE">
        <w:rPr>
          <w:lang w:val="en-GB" w:eastAsia="en-GB"/>
        </w:rPr>
        <w:t>HRMnet</w:t>
      </w:r>
      <w:proofErr w:type="spellEnd"/>
      <w:r w:rsidR="006358BE">
        <w:rPr>
          <w:lang w:val="en-GB" w:eastAsia="en-GB"/>
        </w:rPr>
        <w:t xml:space="preserve"> Annual Conference to take place on 6-10 November 2023 in Nairobi, Kenya will bring together the human resources experts of Africa, along with their development partners from academia, civil society, </w:t>
      </w:r>
      <w:r w:rsidR="00BC0BF1">
        <w:rPr>
          <w:lang w:val="en-GB" w:eastAsia="en-GB"/>
        </w:rPr>
        <w:t xml:space="preserve">training and research institutes, public sector management specialist and international development partners. It </w:t>
      </w:r>
      <w:r w:rsidR="006358BE">
        <w:rPr>
          <w:lang w:val="en-GB" w:eastAsia="en-GB"/>
        </w:rPr>
        <w:t>is</w:t>
      </w:r>
      <w:r>
        <w:rPr>
          <w:lang w:val="en-GB" w:eastAsia="en-GB"/>
        </w:rPr>
        <w:t xml:space="preserve"> expected to welcome over </w:t>
      </w:r>
      <w:r w:rsidR="006358BE">
        <w:rPr>
          <w:lang w:val="en-GB" w:eastAsia="en-GB"/>
        </w:rPr>
        <w:t xml:space="preserve">400 </w:t>
      </w:r>
      <w:r>
        <w:rPr>
          <w:lang w:val="en-GB" w:eastAsia="en-GB"/>
        </w:rPr>
        <w:t>participa</w:t>
      </w:r>
      <w:r w:rsidR="006358BE">
        <w:rPr>
          <w:lang w:val="en-GB" w:eastAsia="en-GB"/>
        </w:rPr>
        <w:t>nts, whose focus of work is development of HR at the national and local levels throughout Africa.</w:t>
      </w:r>
      <w:r>
        <w:rPr>
          <w:lang w:val="en-GB" w:eastAsia="en-GB"/>
        </w:rPr>
        <w:t xml:space="preserve"> </w:t>
      </w:r>
    </w:p>
    <w:p w14:paraId="5A67E9A8" w14:textId="77777777" w:rsidR="009E539B" w:rsidRPr="00043D04" w:rsidRDefault="009E539B" w:rsidP="009E539B">
      <w:pPr>
        <w:ind w:right="272"/>
        <w:jc w:val="both"/>
        <w:rPr>
          <w:sz w:val="16"/>
          <w:szCs w:val="16"/>
          <w:lang w:val="en-GB" w:eastAsia="en-GB"/>
        </w:rPr>
      </w:pPr>
    </w:p>
    <w:p w14:paraId="447B9F3E" w14:textId="58BF4EEE" w:rsidR="002058C7" w:rsidRDefault="002058C7" w:rsidP="006358BE">
      <w:pPr>
        <w:ind w:right="272"/>
        <w:jc w:val="both"/>
        <w:rPr>
          <w:rFonts w:ascii="Georgia" w:hAnsi="Georgia"/>
          <w:color w:val="636363"/>
          <w:sz w:val="20"/>
          <w:szCs w:val="20"/>
        </w:rPr>
      </w:pPr>
      <w:r>
        <w:rPr>
          <w:lang w:val="en-GB" w:eastAsia="en-GB"/>
        </w:rPr>
        <w:t>The Joint</w:t>
      </w:r>
      <w:r w:rsidR="00583AA7">
        <w:rPr>
          <w:lang w:val="en-GB" w:eastAsia="en-GB"/>
        </w:rPr>
        <w:t xml:space="preserve"> Capacity Development</w:t>
      </w:r>
      <w:r>
        <w:rPr>
          <w:lang w:val="en-GB" w:eastAsia="en-GB"/>
        </w:rPr>
        <w:t xml:space="preserve"> Workshop</w:t>
      </w:r>
      <w:r w:rsidR="009E539B">
        <w:rPr>
          <w:lang w:val="en-GB" w:eastAsia="en-GB"/>
        </w:rPr>
        <w:t xml:space="preserve"> </w:t>
      </w:r>
      <w:r>
        <w:rPr>
          <w:lang w:val="en-GB" w:eastAsia="en-GB"/>
        </w:rPr>
        <w:t xml:space="preserve">will be </w:t>
      </w:r>
      <w:r w:rsidR="00C17B75">
        <w:rPr>
          <w:lang w:val="en-GB" w:eastAsia="en-GB"/>
        </w:rPr>
        <w:t xml:space="preserve">an integral </w:t>
      </w:r>
      <w:r>
        <w:rPr>
          <w:lang w:val="en-GB" w:eastAsia="en-GB"/>
        </w:rPr>
        <w:t>part of the</w:t>
      </w:r>
      <w:r w:rsidR="006358BE">
        <w:rPr>
          <w:lang w:val="en-GB" w:eastAsia="en-GB"/>
        </w:rPr>
        <w:t xml:space="preserve"> overall conference </w:t>
      </w:r>
      <w:r w:rsidR="00BC0BF1">
        <w:rPr>
          <w:lang w:val="en-GB" w:eastAsia="en-GB"/>
        </w:rPr>
        <w:t>and will benefit from this high level and diverse representation. Along with the dedicated contribution to the joint capacity development workshop, our funded experts along with UNDESA staff members will be contributing to overall conference as moderators and speakers.</w:t>
      </w:r>
    </w:p>
    <w:p w14:paraId="51692BA4" w14:textId="77777777" w:rsidR="001C2A58" w:rsidRPr="002058C7" w:rsidRDefault="001C2A58" w:rsidP="002058C7">
      <w:pPr>
        <w:ind w:right="272"/>
        <w:rPr>
          <w:rFonts w:ascii="Calibri" w:hAnsi="Calibri"/>
          <w:sz w:val="16"/>
          <w:szCs w:val="16"/>
          <w:lang w:val="en-GB" w:eastAsia="en-GB"/>
        </w:rPr>
      </w:pPr>
    </w:p>
    <w:p w14:paraId="6FEF971A" w14:textId="20E1DE4C" w:rsidR="00332C1B" w:rsidRPr="002058C7" w:rsidRDefault="001C2A58" w:rsidP="002058C7">
      <w:pPr>
        <w:pStyle w:val="ListParagraph"/>
        <w:numPr>
          <w:ilvl w:val="0"/>
          <w:numId w:val="22"/>
        </w:numPr>
        <w:tabs>
          <w:tab w:val="left" w:pos="284"/>
        </w:tabs>
        <w:spacing w:line="240" w:lineRule="auto"/>
        <w:ind w:left="142" w:right="272" w:hanging="142"/>
        <w:rPr>
          <w:rFonts w:ascii="Times New Roman" w:hAnsi="Times New Roman" w:cs="Times New Roman"/>
          <w:b/>
          <w:bCs/>
          <w:sz w:val="28"/>
          <w:szCs w:val="28"/>
          <w:lang w:val="en-GB" w:eastAsia="en-GB"/>
        </w:rPr>
      </w:pPr>
      <w:r w:rsidRPr="002058C7">
        <w:rPr>
          <w:rFonts w:ascii="Times New Roman" w:hAnsi="Times New Roman" w:cs="Times New Roman"/>
          <w:b/>
          <w:bCs/>
          <w:sz w:val="28"/>
          <w:szCs w:val="28"/>
          <w:lang w:val="en-GB" w:eastAsia="en-GB"/>
        </w:rPr>
        <w:t xml:space="preserve">Main </w:t>
      </w:r>
      <w:r w:rsidR="00332C1B" w:rsidRPr="002058C7">
        <w:rPr>
          <w:rFonts w:ascii="Times New Roman" w:hAnsi="Times New Roman" w:cs="Times New Roman"/>
          <w:b/>
          <w:bCs/>
          <w:sz w:val="28"/>
          <w:szCs w:val="28"/>
          <w:lang w:val="en-GB" w:eastAsia="en-GB"/>
        </w:rPr>
        <w:t>Objective</w:t>
      </w:r>
      <w:r w:rsidRPr="002058C7">
        <w:rPr>
          <w:rFonts w:ascii="Times New Roman" w:hAnsi="Times New Roman" w:cs="Times New Roman"/>
          <w:b/>
          <w:bCs/>
          <w:sz w:val="28"/>
          <w:szCs w:val="28"/>
          <w:lang w:val="en-GB" w:eastAsia="en-GB"/>
        </w:rPr>
        <w:t>s</w:t>
      </w:r>
    </w:p>
    <w:p w14:paraId="5584B6AE" w14:textId="77777777" w:rsidR="00332C1B" w:rsidRPr="002058C7" w:rsidRDefault="00332C1B" w:rsidP="00482A6B">
      <w:pPr>
        <w:ind w:left="142" w:right="272"/>
        <w:rPr>
          <w:sz w:val="16"/>
          <w:szCs w:val="16"/>
          <w:lang w:val="en-GB" w:eastAsia="en-GB"/>
        </w:rPr>
      </w:pPr>
    </w:p>
    <w:p w14:paraId="57E4D097" w14:textId="68DB8EEB" w:rsidR="001C2A58" w:rsidRPr="001C2A58" w:rsidRDefault="00332C1B" w:rsidP="00BC0BF1">
      <w:pPr>
        <w:ind w:right="272"/>
        <w:jc w:val="both"/>
        <w:rPr>
          <w:lang w:val="en-GB" w:eastAsia="en-GB"/>
        </w:rPr>
      </w:pPr>
      <w:r w:rsidRPr="001C2A58">
        <w:rPr>
          <w:lang w:val="en-GB" w:eastAsia="en-GB"/>
        </w:rPr>
        <w:t>The</w:t>
      </w:r>
      <w:r w:rsidR="007C482D">
        <w:rPr>
          <w:lang w:val="en-GB" w:eastAsia="en-GB"/>
        </w:rPr>
        <w:t xml:space="preserve"> Joint</w:t>
      </w:r>
      <w:r w:rsidRPr="001C2A58">
        <w:rPr>
          <w:lang w:val="en-GB" w:eastAsia="en-GB"/>
        </w:rPr>
        <w:t xml:space="preserve"> </w:t>
      </w:r>
      <w:r w:rsidR="00EE54C4">
        <w:rPr>
          <w:lang w:val="en-GB" w:eastAsia="en-GB"/>
        </w:rPr>
        <w:t xml:space="preserve">Capacity Development Workshop </w:t>
      </w:r>
      <w:r w:rsidR="001C2A58" w:rsidRPr="001C2A58">
        <w:rPr>
          <w:lang w:val="en-GB" w:eastAsia="en-GB"/>
        </w:rPr>
        <w:t xml:space="preserve">will provide a discussion platform for high level representatives to discuss main challenges and opportunities in addressing issues </w:t>
      </w:r>
      <w:r w:rsidR="00BC0BF1">
        <w:rPr>
          <w:lang w:val="en-GB" w:eastAsia="en-GB"/>
        </w:rPr>
        <w:t xml:space="preserve">of (i) shaping the workforce for the future, (ii) </w:t>
      </w:r>
      <w:proofErr w:type="spellStart"/>
      <w:r w:rsidR="00BC0BF1">
        <w:rPr>
          <w:lang w:val="en-GB" w:eastAsia="en-GB"/>
        </w:rPr>
        <w:t>citizenz</w:t>
      </w:r>
      <w:proofErr w:type="spellEnd"/>
      <w:r w:rsidR="00BC0BF1">
        <w:rPr>
          <w:lang w:val="en-GB" w:eastAsia="en-GB"/>
        </w:rPr>
        <w:t xml:space="preserve"> engagement and participatory decision making, (ii) performance management and measurement for enhanced productivity, (iii) human resource metrics for organizational  effectiveness, (iv) change management and organizational design, (v) learning and development for thriving organizations, (vi) innovation as a cornerstone for a sustainable public service for 21</w:t>
      </w:r>
      <w:r w:rsidR="00BC0BF1" w:rsidRPr="00BC0BF1">
        <w:rPr>
          <w:vertAlign w:val="superscript"/>
          <w:lang w:val="en-GB" w:eastAsia="en-GB"/>
        </w:rPr>
        <w:t>st</w:t>
      </w:r>
      <w:r w:rsidR="00BC0BF1">
        <w:rPr>
          <w:lang w:val="en-GB" w:eastAsia="en-GB"/>
        </w:rPr>
        <w:t xml:space="preserve"> Century and beyond.</w:t>
      </w:r>
    </w:p>
    <w:p w14:paraId="2E5C5EE6" w14:textId="77777777" w:rsidR="00D33F3E" w:rsidRDefault="00D33F3E" w:rsidP="009E539B">
      <w:pPr>
        <w:ind w:right="272"/>
        <w:jc w:val="both"/>
        <w:rPr>
          <w:lang w:val="en-GB" w:eastAsia="en-GB"/>
        </w:rPr>
      </w:pPr>
    </w:p>
    <w:p w14:paraId="0B7D861A" w14:textId="1D0A0A71" w:rsidR="00332C1B" w:rsidRPr="001C2A58" w:rsidRDefault="001C2A58" w:rsidP="009E539B">
      <w:pPr>
        <w:ind w:right="272"/>
        <w:jc w:val="both"/>
        <w:rPr>
          <w:lang w:val="en-GB" w:eastAsia="en-GB"/>
        </w:rPr>
      </w:pPr>
      <w:r w:rsidRPr="001C2A58">
        <w:rPr>
          <w:lang w:val="en-GB" w:eastAsia="en-GB"/>
        </w:rPr>
        <w:t xml:space="preserve">Given the expected high number of overall participants in the </w:t>
      </w:r>
      <w:r w:rsidR="00BC0BF1">
        <w:rPr>
          <w:lang w:val="en-GB" w:eastAsia="en-GB"/>
        </w:rPr>
        <w:t>8</w:t>
      </w:r>
      <w:r w:rsidR="00BC0BF1" w:rsidRPr="00BC0BF1">
        <w:rPr>
          <w:vertAlign w:val="superscript"/>
          <w:lang w:val="en-GB" w:eastAsia="en-GB"/>
        </w:rPr>
        <w:t>th</w:t>
      </w:r>
      <w:r w:rsidR="00BC0BF1">
        <w:rPr>
          <w:lang w:val="en-GB" w:eastAsia="en-GB"/>
        </w:rPr>
        <w:t xml:space="preserve"> APS-</w:t>
      </w:r>
      <w:proofErr w:type="spellStart"/>
      <w:r w:rsidR="00BC0BF1">
        <w:rPr>
          <w:lang w:val="en-GB" w:eastAsia="en-GB"/>
        </w:rPr>
        <w:t>HRMnet</w:t>
      </w:r>
      <w:proofErr w:type="spellEnd"/>
      <w:r w:rsidR="00BC0BF1">
        <w:rPr>
          <w:lang w:val="en-GB" w:eastAsia="en-GB"/>
        </w:rPr>
        <w:t xml:space="preserve"> Annual Conference</w:t>
      </w:r>
      <w:r w:rsidRPr="001C2A58">
        <w:rPr>
          <w:lang w:val="en-GB" w:eastAsia="en-GB"/>
        </w:rPr>
        <w:t xml:space="preserve">, the </w:t>
      </w:r>
      <w:r w:rsidR="00BC0BF1">
        <w:rPr>
          <w:lang w:val="en-GB" w:eastAsia="en-GB"/>
        </w:rPr>
        <w:t xml:space="preserve">joint Capacity Development </w:t>
      </w:r>
      <w:proofErr w:type="gramStart"/>
      <w:r w:rsidR="00BC0BF1">
        <w:rPr>
          <w:lang w:val="en-GB" w:eastAsia="en-GB"/>
        </w:rPr>
        <w:t xml:space="preserve">Workshop </w:t>
      </w:r>
      <w:r w:rsidRPr="001C2A58">
        <w:rPr>
          <w:lang w:val="en-GB" w:eastAsia="en-GB"/>
        </w:rPr>
        <w:t xml:space="preserve"> </w:t>
      </w:r>
      <w:r w:rsidR="00332C1B" w:rsidRPr="001C2A58">
        <w:rPr>
          <w:lang w:val="en-GB" w:eastAsia="en-GB"/>
        </w:rPr>
        <w:t>will</w:t>
      </w:r>
      <w:proofErr w:type="gramEnd"/>
      <w:r w:rsidR="00332C1B" w:rsidRPr="001C2A58">
        <w:rPr>
          <w:lang w:val="en-GB" w:eastAsia="en-GB"/>
        </w:rPr>
        <w:t xml:space="preserve"> </w:t>
      </w:r>
      <w:r w:rsidRPr="001C2A58">
        <w:rPr>
          <w:lang w:val="en-GB" w:eastAsia="en-GB"/>
        </w:rPr>
        <w:t xml:space="preserve">offer a great opportunity to disseminate the ongoing substantive work on </w:t>
      </w:r>
      <w:r w:rsidR="002058C7">
        <w:rPr>
          <w:lang w:val="en-GB" w:eastAsia="en-GB"/>
        </w:rPr>
        <w:t xml:space="preserve">the </w:t>
      </w:r>
      <w:r w:rsidR="00BC0BF1">
        <w:rPr>
          <w:lang w:val="en-GB" w:eastAsia="en-GB"/>
        </w:rPr>
        <w:t>PISB/DPIDG</w:t>
      </w:r>
      <w:r w:rsidRPr="001C2A58">
        <w:rPr>
          <w:lang w:val="en-GB" w:eastAsia="en-GB"/>
        </w:rPr>
        <w:t xml:space="preserve"> at the intersection of leadership, innovation, and principles of governance</w:t>
      </w:r>
      <w:r w:rsidR="00BC0BF1">
        <w:rPr>
          <w:lang w:val="en-GB" w:eastAsia="en-GB"/>
        </w:rPr>
        <w:t xml:space="preserve"> and further enhance ongoing partnerships with some of the key leaders of public administration reform in Africa</w:t>
      </w:r>
      <w:r w:rsidR="00583AA7">
        <w:rPr>
          <w:lang w:val="en-GB" w:eastAsia="en-GB"/>
        </w:rPr>
        <w:t xml:space="preserve"> to ensure the successful implementations of the SDGs.</w:t>
      </w:r>
    </w:p>
    <w:p w14:paraId="0C83112A" w14:textId="1B3622BF" w:rsidR="001C2A58" w:rsidRPr="00B31381" w:rsidRDefault="001C2A58" w:rsidP="00482A6B">
      <w:pPr>
        <w:ind w:left="142" w:right="272"/>
        <w:jc w:val="both"/>
        <w:rPr>
          <w:sz w:val="16"/>
          <w:szCs w:val="16"/>
          <w:lang w:val="en-GB" w:eastAsia="en-GB"/>
        </w:rPr>
      </w:pPr>
    </w:p>
    <w:p w14:paraId="06DFAC7E" w14:textId="55F06C5F" w:rsidR="001C2A58" w:rsidRPr="001C2A58" w:rsidRDefault="000604CA" w:rsidP="009E539B">
      <w:pPr>
        <w:ind w:right="272"/>
        <w:jc w:val="both"/>
        <w:rPr>
          <w:lang w:val="en-GB" w:eastAsia="en-GB"/>
        </w:rPr>
      </w:pPr>
      <w:r>
        <w:rPr>
          <w:lang w:val="en-GB" w:eastAsia="en-GB"/>
        </w:rPr>
        <w:t xml:space="preserve">The Workshop will aim </w:t>
      </w:r>
      <w:r w:rsidR="001C2A58" w:rsidRPr="001C2A58">
        <w:rPr>
          <w:lang w:val="en-GB" w:eastAsia="en-GB"/>
        </w:rPr>
        <w:t>the followings:</w:t>
      </w:r>
    </w:p>
    <w:p w14:paraId="73651160" w14:textId="075890D5" w:rsidR="001C2A58" w:rsidRPr="00B31381" w:rsidRDefault="001C2A58" w:rsidP="00482A6B">
      <w:pPr>
        <w:ind w:left="142" w:right="272"/>
        <w:jc w:val="both"/>
        <w:rPr>
          <w:sz w:val="16"/>
          <w:szCs w:val="16"/>
          <w:lang w:val="en-GB" w:eastAsia="en-GB"/>
        </w:rPr>
      </w:pPr>
    </w:p>
    <w:p w14:paraId="6BB8DFB7" w14:textId="21A135A9" w:rsidR="001C2A58" w:rsidRP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 xml:space="preserve">Provide a discussion platform for Africa </w:t>
      </w:r>
      <w:r w:rsidR="00BC0BF1">
        <w:rPr>
          <w:rFonts w:ascii="Times New Roman" w:hAnsi="Times New Roman" w:cs="Times New Roman"/>
          <w:sz w:val="24"/>
          <w:szCs w:val="24"/>
          <w:lang w:val="en-GB" w:eastAsia="en-GB"/>
        </w:rPr>
        <w:t>human resources managers and their development partners</w:t>
      </w:r>
    </w:p>
    <w:p w14:paraId="148D98EA" w14:textId="1C668C7D" w:rsidR="001C2A58" w:rsidRP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 xml:space="preserve">Analyse some of the most critical challenges </w:t>
      </w:r>
      <w:r w:rsidR="00BC0BF1">
        <w:rPr>
          <w:rFonts w:ascii="Times New Roman" w:hAnsi="Times New Roman" w:cs="Times New Roman"/>
          <w:sz w:val="24"/>
          <w:szCs w:val="24"/>
          <w:lang w:val="en-GB" w:eastAsia="en-GB"/>
        </w:rPr>
        <w:t>in</w:t>
      </w:r>
      <w:r w:rsidRPr="001C2A58">
        <w:rPr>
          <w:rFonts w:ascii="Times New Roman" w:hAnsi="Times New Roman" w:cs="Times New Roman"/>
          <w:sz w:val="24"/>
          <w:szCs w:val="24"/>
          <w:lang w:val="en-GB" w:eastAsia="en-GB"/>
        </w:rPr>
        <w:t xml:space="preserve"> Africa, especially LDCs in </w:t>
      </w:r>
      <w:r w:rsidR="00583AA7">
        <w:rPr>
          <w:rFonts w:ascii="Times New Roman" w:hAnsi="Times New Roman" w:cs="Times New Roman"/>
          <w:sz w:val="24"/>
          <w:szCs w:val="24"/>
          <w:lang w:val="en-GB" w:eastAsia="en-GB"/>
        </w:rPr>
        <w:t>designing and implementing comprehensive human resource development strategies focus on reaffirming state citizens relationships</w:t>
      </w:r>
    </w:p>
    <w:p w14:paraId="499E969E" w14:textId="23F2B43E" w:rsidR="001C2A58" w:rsidRP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Enhance the importance of transformational leadership in overcoming challenges</w:t>
      </w:r>
      <w:r w:rsidR="00B31381">
        <w:rPr>
          <w:rFonts w:ascii="Times New Roman" w:hAnsi="Times New Roman" w:cs="Times New Roman"/>
          <w:sz w:val="24"/>
          <w:szCs w:val="24"/>
          <w:lang w:val="en-GB" w:eastAsia="en-GB"/>
        </w:rPr>
        <w:t>;</w:t>
      </w:r>
    </w:p>
    <w:p w14:paraId="608542E8" w14:textId="3F3C7B66" w:rsidR="001C2A58" w:rsidRP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 xml:space="preserve">Enhance the capacity to build synergies </w:t>
      </w:r>
      <w:r w:rsidR="00583AA7">
        <w:rPr>
          <w:rFonts w:ascii="Times New Roman" w:hAnsi="Times New Roman" w:cs="Times New Roman"/>
          <w:sz w:val="24"/>
          <w:szCs w:val="24"/>
          <w:lang w:val="en-GB" w:eastAsia="en-GB"/>
        </w:rPr>
        <w:t xml:space="preserve">across sub-regions in promoting encompassing approaches and strategies of human resource development as a pre-condition for successful implementation of the </w:t>
      </w:r>
      <w:proofErr w:type="gramStart"/>
      <w:r w:rsidR="00583AA7">
        <w:rPr>
          <w:rFonts w:ascii="Times New Roman" w:hAnsi="Times New Roman" w:cs="Times New Roman"/>
          <w:sz w:val="24"/>
          <w:szCs w:val="24"/>
          <w:lang w:val="en-GB" w:eastAsia="en-GB"/>
        </w:rPr>
        <w:t>SDGs</w:t>
      </w:r>
      <w:r w:rsidR="00B31381">
        <w:rPr>
          <w:rFonts w:ascii="Times New Roman" w:hAnsi="Times New Roman" w:cs="Times New Roman"/>
          <w:sz w:val="24"/>
          <w:szCs w:val="24"/>
          <w:lang w:val="en-GB" w:eastAsia="en-GB"/>
        </w:rPr>
        <w:t>;</w:t>
      </w:r>
      <w:proofErr w:type="gramEnd"/>
    </w:p>
    <w:p w14:paraId="479E435F" w14:textId="6AABAC63" w:rsidR="001C2A58" w:rsidRP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 xml:space="preserve">Highlight the capacity development needs in areas of governance, innovation, and </w:t>
      </w:r>
      <w:proofErr w:type="gramStart"/>
      <w:r w:rsidRPr="001C2A58">
        <w:rPr>
          <w:rFonts w:ascii="Times New Roman" w:hAnsi="Times New Roman" w:cs="Times New Roman"/>
          <w:sz w:val="24"/>
          <w:szCs w:val="24"/>
          <w:lang w:val="en-GB" w:eastAsia="en-GB"/>
        </w:rPr>
        <w:t>leadership;</w:t>
      </w:r>
      <w:proofErr w:type="gramEnd"/>
      <w:r w:rsidRPr="001C2A58">
        <w:rPr>
          <w:rFonts w:ascii="Times New Roman" w:hAnsi="Times New Roman" w:cs="Times New Roman"/>
          <w:sz w:val="24"/>
          <w:szCs w:val="24"/>
          <w:lang w:val="en-GB" w:eastAsia="en-GB"/>
        </w:rPr>
        <w:t xml:space="preserve"> </w:t>
      </w:r>
    </w:p>
    <w:p w14:paraId="6511823B" w14:textId="4FF9C54C" w:rsidR="001C2A58" w:rsidRDefault="001C2A58" w:rsidP="00B31381">
      <w:pPr>
        <w:pStyle w:val="ListParagraph"/>
        <w:numPr>
          <w:ilvl w:val="0"/>
          <w:numId w:val="23"/>
        </w:numPr>
        <w:spacing w:line="240" w:lineRule="auto"/>
        <w:ind w:left="709" w:right="272"/>
        <w:jc w:val="both"/>
        <w:rPr>
          <w:rFonts w:ascii="Times New Roman" w:hAnsi="Times New Roman" w:cs="Times New Roman"/>
          <w:sz w:val="24"/>
          <w:szCs w:val="24"/>
          <w:lang w:val="en-GB" w:eastAsia="en-GB"/>
        </w:rPr>
      </w:pPr>
      <w:r w:rsidRPr="001C2A58">
        <w:rPr>
          <w:rFonts w:ascii="Times New Roman" w:hAnsi="Times New Roman" w:cs="Times New Roman"/>
          <w:sz w:val="24"/>
          <w:szCs w:val="24"/>
          <w:lang w:val="en-GB" w:eastAsia="en-GB"/>
        </w:rPr>
        <w:t>Discuss pathways for the futur</w:t>
      </w:r>
      <w:r w:rsidR="00583AA7">
        <w:rPr>
          <w:rFonts w:ascii="Times New Roman" w:hAnsi="Times New Roman" w:cs="Times New Roman"/>
          <w:sz w:val="24"/>
          <w:szCs w:val="24"/>
          <w:lang w:val="en-GB" w:eastAsia="en-GB"/>
        </w:rPr>
        <w:t>e actions to have citizens-</w:t>
      </w:r>
      <w:proofErr w:type="spellStart"/>
      <w:r w:rsidR="00583AA7">
        <w:rPr>
          <w:rFonts w:ascii="Times New Roman" w:hAnsi="Times New Roman" w:cs="Times New Roman"/>
          <w:sz w:val="24"/>
          <w:szCs w:val="24"/>
          <w:lang w:val="en-GB" w:eastAsia="en-GB"/>
        </w:rPr>
        <w:t>centered</w:t>
      </w:r>
      <w:proofErr w:type="spellEnd"/>
      <w:r w:rsidR="00583AA7">
        <w:rPr>
          <w:rFonts w:ascii="Times New Roman" w:hAnsi="Times New Roman" w:cs="Times New Roman"/>
          <w:sz w:val="24"/>
          <w:szCs w:val="24"/>
          <w:lang w:val="en-GB" w:eastAsia="en-GB"/>
        </w:rPr>
        <w:t xml:space="preserve"> public administrations in </w:t>
      </w:r>
      <w:proofErr w:type="gramStart"/>
      <w:r w:rsidR="00583AA7">
        <w:rPr>
          <w:rFonts w:ascii="Times New Roman" w:hAnsi="Times New Roman" w:cs="Times New Roman"/>
          <w:sz w:val="24"/>
          <w:szCs w:val="24"/>
          <w:lang w:val="en-GB" w:eastAsia="en-GB"/>
        </w:rPr>
        <w:t>Africa</w:t>
      </w:r>
      <w:proofErr w:type="gramEnd"/>
      <w:r w:rsidR="00583AA7">
        <w:rPr>
          <w:rFonts w:ascii="Times New Roman" w:hAnsi="Times New Roman" w:cs="Times New Roman"/>
          <w:sz w:val="24"/>
          <w:szCs w:val="24"/>
          <w:lang w:val="en-GB" w:eastAsia="en-GB"/>
        </w:rPr>
        <w:t xml:space="preserve"> </w:t>
      </w:r>
    </w:p>
    <w:p w14:paraId="3C12D21F" w14:textId="77777777" w:rsidR="003E2099" w:rsidRDefault="003E2099" w:rsidP="003E2099">
      <w:pPr>
        <w:pStyle w:val="ListParagraph"/>
        <w:spacing w:line="240" w:lineRule="auto"/>
        <w:ind w:left="709" w:right="272"/>
        <w:jc w:val="both"/>
        <w:rPr>
          <w:rFonts w:ascii="Times New Roman" w:hAnsi="Times New Roman" w:cs="Times New Roman"/>
          <w:sz w:val="24"/>
          <w:szCs w:val="24"/>
          <w:lang w:val="en-GB" w:eastAsia="en-GB"/>
        </w:rPr>
      </w:pPr>
    </w:p>
    <w:p w14:paraId="150AADB7" w14:textId="77777777" w:rsidR="00B32DE2" w:rsidRPr="00B32DE2" w:rsidRDefault="00B32DE2" w:rsidP="00B32DE2">
      <w:pPr>
        <w:ind w:right="272"/>
        <w:rPr>
          <w:sz w:val="16"/>
          <w:szCs w:val="16"/>
          <w:lang w:val="en-GB" w:eastAsia="en-GB"/>
        </w:rPr>
      </w:pPr>
    </w:p>
    <w:p w14:paraId="78400A83" w14:textId="7D39138F" w:rsidR="00B31381" w:rsidRDefault="00B31381" w:rsidP="00B31381">
      <w:pPr>
        <w:pStyle w:val="ListParagraph"/>
        <w:numPr>
          <w:ilvl w:val="0"/>
          <w:numId w:val="22"/>
        </w:numPr>
        <w:spacing w:line="240" w:lineRule="auto"/>
        <w:ind w:left="284" w:right="272" w:hanging="284"/>
        <w:rPr>
          <w:rFonts w:ascii="Times New Roman" w:hAnsi="Times New Roman" w:cs="Times New Roman"/>
          <w:b/>
          <w:bCs/>
          <w:sz w:val="28"/>
          <w:szCs w:val="28"/>
          <w:lang w:val="en-GB" w:eastAsia="en-GB"/>
        </w:rPr>
      </w:pPr>
      <w:r w:rsidRPr="00B31381">
        <w:rPr>
          <w:rFonts w:ascii="Times New Roman" w:hAnsi="Times New Roman" w:cs="Times New Roman"/>
          <w:b/>
          <w:bCs/>
          <w:sz w:val="28"/>
          <w:szCs w:val="28"/>
          <w:lang w:val="en-GB" w:eastAsia="en-GB"/>
        </w:rPr>
        <w:lastRenderedPageBreak/>
        <w:t xml:space="preserve">The Organizers </w:t>
      </w:r>
    </w:p>
    <w:p w14:paraId="52D512AF" w14:textId="501AEA26" w:rsidR="00B31381" w:rsidRPr="00B31381" w:rsidRDefault="00B31381" w:rsidP="00B31381">
      <w:pPr>
        <w:pStyle w:val="ListParagraph"/>
        <w:numPr>
          <w:ilvl w:val="0"/>
          <w:numId w:val="26"/>
        </w:numPr>
        <w:ind w:left="426" w:hanging="3"/>
        <w:rPr>
          <w:rFonts w:eastAsia="Lato"/>
          <w:b/>
          <w:sz w:val="36"/>
          <w:szCs w:val="36"/>
          <w:lang w:val="en-GB"/>
        </w:rPr>
      </w:pPr>
      <w:r w:rsidRPr="00B31381">
        <w:rPr>
          <w:rFonts w:ascii="Times New Roman" w:hAnsi="Times New Roman" w:cs="Times New Roman"/>
          <w:sz w:val="24"/>
          <w:szCs w:val="24"/>
          <w:lang w:val="en-GB" w:eastAsia="en-GB"/>
        </w:rPr>
        <w:t xml:space="preserve">The United Nations Department of Economic </w:t>
      </w:r>
      <w:r>
        <w:rPr>
          <w:rFonts w:ascii="Times New Roman" w:hAnsi="Times New Roman" w:cs="Times New Roman"/>
          <w:sz w:val="24"/>
          <w:szCs w:val="24"/>
          <w:lang w:val="en-GB" w:eastAsia="en-GB"/>
        </w:rPr>
        <w:t xml:space="preserve">and </w:t>
      </w:r>
      <w:r w:rsidRPr="00B31381">
        <w:rPr>
          <w:rFonts w:ascii="Times New Roman" w:hAnsi="Times New Roman" w:cs="Times New Roman"/>
          <w:sz w:val="24"/>
          <w:szCs w:val="24"/>
          <w:lang w:val="en-GB" w:eastAsia="en-GB"/>
        </w:rPr>
        <w:t>Social Affairs (UN-DESA) through the Division of Public Institutions and Digital Governance (UN-DESA/DPIDG)</w:t>
      </w:r>
      <w:r w:rsidRPr="001C2A58">
        <w:rPr>
          <w:rStyle w:val="FootnoteReference"/>
          <w:rFonts w:ascii="Lato" w:eastAsia="Lato" w:hAnsi="Lato" w:cs="Lato"/>
          <w:bCs/>
          <w:i/>
          <w:iCs/>
        </w:rPr>
        <w:footnoteReference w:id="9"/>
      </w:r>
      <w:r>
        <w:rPr>
          <w:rFonts w:ascii="Lato" w:eastAsia="Lato" w:hAnsi="Lato" w:cs="Lato"/>
          <w:bCs/>
          <w:i/>
          <w:iCs/>
        </w:rPr>
        <w:t>;</w:t>
      </w:r>
    </w:p>
    <w:p w14:paraId="3DEE4D4A" w14:textId="570139BD" w:rsidR="00A65AA0" w:rsidRPr="00583AA7" w:rsidRDefault="00B31381" w:rsidP="00474053">
      <w:pPr>
        <w:pStyle w:val="ListParagraph"/>
        <w:numPr>
          <w:ilvl w:val="0"/>
          <w:numId w:val="26"/>
        </w:numPr>
        <w:ind w:left="426" w:hanging="3"/>
        <w:rPr>
          <w:rFonts w:eastAsia="Lato"/>
          <w:b/>
          <w:sz w:val="16"/>
          <w:szCs w:val="16"/>
          <w:lang w:val="en-GB"/>
        </w:rPr>
      </w:pPr>
      <w:r w:rsidRPr="0061274C">
        <w:rPr>
          <w:rFonts w:ascii="Times New Roman" w:hAnsi="Times New Roman" w:cs="Times New Roman"/>
          <w:sz w:val="24"/>
          <w:szCs w:val="24"/>
          <w:lang w:val="en-GB" w:eastAsia="en-GB"/>
        </w:rPr>
        <w:t xml:space="preserve">The </w:t>
      </w:r>
      <w:r w:rsidR="0061274C" w:rsidRPr="0061274C">
        <w:rPr>
          <w:rFonts w:ascii="Times New Roman" w:hAnsi="Times New Roman" w:cs="Times New Roman"/>
          <w:sz w:val="24"/>
          <w:szCs w:val="24"/>
          <w:lang w:val="en-GB" w:eastAsia="en-GB"/>
        </w:rPr>
        <w:t xml:space="preserve">African Public Service- Human Resources Managers </w:t>
      </w:r>
      <w:proofErr w:type="spellStart"/>
      <w:r w:rsidR="0061274C" w:rsidRPr="0061274C">
        <w:rPr>
          <w:rFonts w:ascii="Times New Roman" w:hAnsi="Times New Roman" w:cs="Times New Roman"/>
          <w:sz w:val="24"/>
          <w:szCs w:val="24"/>
          <w:lang w:val="en-GB" w:eastAsia="en-GB"/>
        </w:rPr>
        <w:t>Networkd</w:t>
      </w:r>
      <w:proofErr w:type="spellEnd"/>
      <w:r w:rsidR="0061274C" w:rsidRPr="0061274C">
        <w:rPr>
          <w:rFonts w:ascii="Times New Roman" w:hAnsi="Times New Roman" w:cs="Times New Roman"/>
          <w:sz w:val="24"/>
          <w:szCs w:val="24"/>
          <w:lang w:val="en-GB" w:eastAsia="en-GB"/>
        </w:rPr>
        <w:t xml:space="preserve"> </w:t>
      </w:r>
      <w:proofErr w:type="gramStart"/>
      <w:r w:rsidR="0061274C" w:rsidRPr="0061274C">
        <w:rPr>
          <w:rFonts w:ascii="Times New Roman" w:hAnsi="Times New Roman" w:cs="Times New Roman"/>
          <w:sz w:val="24"/>
          <w:szCs w:val="24"/>
          <w:lang w:val="en-GB" w:eastAsia="en-GB"/>
        </w:rPr>
        <w:t>( APS</w:t>
      </w:r>
      <w:proofErr w:type="gramEnd"/>
      <w:r w:rsidR="0061274C" w:rsidRPr="0061274C">
        <w:rPr>
          <w:rFonts w:ascii="Times New Roman" w:hAnsi="Times New Roman" w:cs="Times New Roman"/>
          <w:sz w:val="24"/>
          <w:szCs w:val="24"/>
          <w:lang w:val="en-GB" w:eastAsia="en-GB"/>
        </w:rPr>
        <w:t>-</w:t>
      </w:r>
      <w:proofErr w:type="spellStart"/>
      <w:r w:rsidR="0061274C" w:rsidRPr="0061274C">
        <w:rPr>
          <w:rFonts w:ascii="Times New Roman" w:hAnsi="Times New Roman" w:cs="Times New Roman"/>
          <w:sz w:val="24"/>
          <w:szCs w:val="24"/>
          <w:lang w:val="en-GB" w:eastAsia="en-GB"/>
        </w:rPr>
        <w:t>HRMnet</w:t>
      </w:r>
      <w:proofErr w:type="spellEnd"/>
      <w:r w:rsidR="0061274C" w:rsidRPr="0061274C">
        <w:rPr>
          <w:rFonts w:ascii="Times New Roman" w:hAnsi="Times New Roman" w:cs="Times New Roman"/>
          <w:sz w:val="24"/>
          <w:szCs w:val="24"/>
          <w:lang w:val="en-GB" w:eastAsia="en-GB"/>
        </w:rPr>
        <w:t>)</w:t>
      </w:r>
      <w:r w:rsidR="0061274C">
        <w:rPr>
          <w:rStyle w:val="FootnoteReference"/>
          <w:rFonts w:ascii="Times New Roman" w:hAnsi="Times New Roman" w:cs="Times New Roman"/>
          <w:sz w:val="24"/>
          <w:szCs w:val="24"/>
          <w:lang w:val="en-GB" w:eastAsia="en-GB"/>
        </w:rPr>
        <w:footnoteReference w:id="10"/>
      </w:r>
    </w:p>
    <w:p w14:paraId="6510F774" w14:textId="77777777" w:rsidR="00583AA7" w:rsidRPr="0061274C" w:rsidRDefault="00583AA7" w:rsidP="00583AA7">
      <w:pPr>
        <w:pStyle w:val="ListParagraph"/>
        <w:ind w:left="426"/>
        <w:rPr>
          <w:rFonts w:eastAsia="Lato"/>
          <w:b/>
          <w:sz w:val="16"/>
          <w:szCs w:val="16"/>
          <w:lang w:val="en-GB"/>
        </w:rPr>
      </w:pPr>
    </w:p>
    <w:p w14:paraId="3C66F882" w14:textId="01BB90F7" w:rsidR="00B31381" w:rsidRPr="00A65AA0" w:rsidRDefault="00A65AA0" w:rsidP="00B31381">
      <w:pPr>
        <w:pStyle w:val="ListParagraph"/>
        <w:numPr>
          <w:ilvl w:val="0"/>
          <w:numId w:val="22"/>
        </w:numPr>
        <w:ind w:left="284" w:hanging="284"/>
        <w:rPr>
          <w:rFonts w:ascii="Times New Roman" w:hAnsi="Times New Roman" w:cs="Times New Roman"/>
          <w:b/>
          <w:bCs/>
          <w:sz w:val="28"/>
          <w:szCs w:val="28"/>
          <w:lang w:val="en-GB" w:eastAsia="en-GB"/>
        </w:rPr>
      </w:pPr>
      <w:r w:rsidRPr="00A65AA0">
        <w:rPr>
          <w:rFonts w:ascii="Times New Roman" w:hAnsi="Times New Roman" w:cs="Times New Roman"/>
          <w:b/>
          <w:bCs/>
          <w:sz w:val="28"/>
          <w:szCs w:val="28"/>
          <w:lang w:val="en-GB" w:eastAsia="en-GB"/>
        </w:rPr>
        <w:t>Date and Venue</w:t>
      </w:r>
    </w:p>
    <w:p w14:paraId="13B51359" w14:textId="46E47601" w:rsidR="00A65AA0" w:rsidRDefault="0061274C" w:rsidP="00B32DE2">
      <w:pPr>
        <w:rPr>
          <w:rFonts w:eastAsia="Arial"/>
          <w:lang w:val="en-GB" w:eastAsia="en-GB"/>
        </w:rPr>
      </w:pPr>
      <w:r>
        <w:rPr>
          <w:rFonts w:eastAsia="Arial"/>
          <w:lang w:val="en-GB" w:eastAsia="en-GB"/>
        </w:rPr>
        <w:t>Kenya School of Government</w:t>
      </w:r>
    </w:p>
    <w:p w14:paraId="4635597C" w14:textId="77777777" w:rsidR="00B32DE2" w:rsidRPr="00B32DE2" w:rsidRDefault="00B32DE2" w:rsidP="00B32DE2">
      <w:pPr>
        <w:rPr>
          <w:sz w:val="16"/>
          <w:szCs w:val="16"/>
          <w:lang w:val="en-GB" w:eastAsia="en-GB"/>
        </w:rPr>
      </w:pPr>
    </w:p>
    <w:p w14:paraId="7E4F3177" w14:textId="3E690EE2" w:rsidR="00A65AA0" w:rsidRDefault="00A65AA0" w:rsidP="00A65AA0">
      <w:pPr>
        <w:pStyle w:val="ListParagraph"/>
        <w:numPr>
          <w:ilvl w:val="0"/>
          <w:numId w:val="22"/>
        </w:numPr>
        <w:ind w:left="284" w:hanging="284"/>
        <w:rPr>
          <w:rFonts w:ascii="Times New Roman" w:hAnsi="Times New Roman" w:cs="Times New Roman"/>
          <w:b/>
          <w:bCs/>
          <w:sz w:val="28"/>
          <w:szCs w:val="28"/>
          <w:lang w:val="en-GB" w:eastAsia="en-GB"/>
        </w:rPr>
      </w:pPr>
      <w:r w:rsidRPr="00A65AA0">
        <w:rPr>
          <w:rFonts w:ascii="Times New Roman" w:hAnsi="Times New Roman" w:cs="Times New Roman"/>
          <w:b/>
          <w:bCs/>
          <w:sz w:val="28"/>
          <w:szCs w:val="28"/>
          <w:lang w:val="en-GB" w:eastAsia="en-GB"/>
        </w:rPr>
        <w:t xml:space="preserve">Working Languages </w:t>
      </w:r>
    </w:p>
    <w:p w14:paraId="5F6CDA74" w14:textId="7BE7C72E" w:rsidR="00583AA7" w:rsidRPr="00583AA7" w:rsidRDefault="00583AA7" w:rsidP="00583AA7">
      <w:pPr>
        <w:rPr>
          <w:sz w:val="28"/>
          <w:szCs w:val="28"/>
          <w:lang w:val="en-GB" w:eastAsia="en-GB"/>
        </w:rPr>
      </w:pPr>
      <w:r w:rsidRPr="00583AA7">
        <w:rPr>
          <w:sz w:val="28"/>
          <w:szCs w:val="28"/>
          <w:lang w:val="en-GB" w:eastAsia="en-GB"/>
        </w:rPr>
        <w:t>English</w:t>
      </w:r>
    </w:p>
    <w:p w14:paraId="05D12068" w14:textId="77777777" w:rsidR="00583AA7" w:rsidRPr="00583AA7" w:rsidRDefault="00583AA7" w:rsidP="00583AA7">
      <w:pPr>
        <w:rPr>
          <w:b/>
          <w:bCs/>
          <w:sz w:val="28"/>
          <w:szCs w:val="28"/>
          <w:lang w:val="en-GB" w:eastAsia="en-GB"/>
        </w:rPr>
      </w:pPr>
    </w:p>
    <w:p w14:paraId="4214A0D4" w14:textId="44C3E6AC" w:rsidR="00583AA7" w:rsidRPr="00A65AA0" w:rsidRDefault="00583AA7" w:rsidP="00A65AA0">
      <w:pPr>
        <w:pStyle w:val="ListParagraph"/>
        <w:numPr>
          <w:ilvl w:val="0"/>
          <w:numId w:val="22"/>
        </w:numPr>
        <w:ind w:left="284" w:hanging="284"/>
        <w:rPr>
          <w:rFonts w:ascii="Times New Roman" w:hAnsi="Times New Roman" w:cs="Times New Roman"/>
          <w:b/>
          <w:bCs/>
          <w:sz w:val="28"/>
          <w:szCs w:val="28"/>
          <w:lang w:val="en-GB" w:eastAsia="en-GB"/>
        </w:rPr>
      </w:pPr>
      <w:r>
        <w:rPr>
          <w:rFonts w:ascii="Times New Roman" w:hAnsi="Times New Roman" w:cs="Times New Roman"/>
          <w:b/>
          <w:bCs/>
          <w:sz w:val="28"/>
          <w:szCs w:val="28"/>
          <w:lang w:val="en-GB" w:eastAsia="en-GB"/>
        </w:rPr>
        <w:t>Agenda (</w:t>
      </w:r>
      <w:r w:rsidR="003E2099">
        <w:rPr>
          <w:rFonts w:ascii="Times New Roman" w:hAnsi="Times New Roman" w:cs="Times New Roman"/>
          <w:b/>
          <w:bCs/>
          <w:sz w:val="28"/>
          <w:szCs w:val="28"/>
          <w:lang w:val="en-GB" w:eastAsia="en-GB"/>
        </w:rPr>
        <w:t>posted in a separate document</w:t>
      </w:r>
      <w:r>
        <w:rPr>
          <w:rFonts w:ascii="Times New Roman" w:hAnsi="Times New Roman" w:cs="Times New Roman"/>
          <w:b/>
          <w:bCs/>
          <w:sz w:val="28"/>
          <w:szCs w:val="28"/>
          <w:lang w:val="en-GB" w:eastAsia="en-GB"/>
        </w:rPr>
        <w:t>)</w:t>
      </w:r>
    </w:p>
    <w:p w14:paraId="385E5079" w14:textId="1541F82B"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1EDA44AB" w14:textId="36890CB1"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42B8C176" w14:textId="44E29991"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442A3760" w14:textId="229B46B4"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39F41F4A" w14:textId="656120B0"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5A2FF2BA" w14:textId="7C7FADE5"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493F32B6" w14:textId="18894829"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65A210C7" w14:textId="156A91DD"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346A9085" w14:textId="773711DC"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16B51312" w14:textId="3BA94D9D"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69136317" w14:textId="27CD4824"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09555E4E" w14:textId="2B0F85EB"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0D9148F6" w14:textId="19A8CEE0"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7C15221E" w14:textId="51CAC252"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6A8DB381" w14:textId="592C5565"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14D4F55C" w14:textId="48D592F4"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44736DE3" w14:textId="1B4B6FBD"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380A6A12" w14:textId="0294082A"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0409DBA6" w14:textId="093C1F1D"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628261A8" w14:textId="3EE95B93"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196AFEC8" w14:textId="38BCF31B" w:rsidR="00D33F3E"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43C73258" w14:textId="77777777" w:rsidR="00D33F3E" w:rsidRPr="00B32DE2" w:rsidRDefault="00D33F3E" w:rsidP="00B31381">
      <w:pPr>
        <w:pStyle w:val="ListParagraph"/>
        <w:spacing w:line="240" w:lineRule="auto"/>
        <w:ind w:left="502" w:right="272"/>
        <w:rPr>
          <w:rFonts w:ascii="Times New Roman" w:hAnsi="Times New Roman" w:cs="Times New Roman"/>
          <w:b/>
          <w:bCs/>
          <w:sz w:val="16"/>
          <w:szCs w:val="16"/>
          <w:lang w:val="en-GB" w:eastAsia="en-GB"/>
        </w:rPr>
      </w:pPr>
    </w:p>
    <w:p w14:paraId="13822A5C" w14:textId="77777777" w:rsidR="00D33F3E" w:rsidRDefault="00D33F3E" w:rsidP="00D33F3E">
      <w:pPr>
        <w:pStyle w:val="ListParagraph"/>
        <w:spacing w:line="240" w:lineRule="auto"/>
        <w:ind w:left="284" w:right="272"/>
        <w:rPr>
          <w:rFonts w:ascii="Times New Roman" w:hAnsi="Times New Roman" w:cs="Times New Roman"/>
          <w:b/>
          <w:bCs/>
          <w:sz w:val="36"/>
          <w:szCs w:val="36"/>
          <w:lang w:val="en-GB" w:eastAsia="en-GB"/>
        </w:rPr>
      </w:pPr>
    </w:p>
    <w:p w14:paraId="225CEFE0" w14:textId="626B2C01" w:rsidR="00D33F3E" w:rsidRDefault="00D33F3E" w:rsidP="00B32DE2">
      <w:pPr>
        <w:ind w:right="272"/>
        <w:rPr>
          <w:rFonts w:eastAsia="Arial"/>
          <w:b/>
          <w:bCs/>
          <w:sz w:val="28"/>
          <w:szCs w:val="28"/>
          <w:lang w:val="en-AE" w:eastAsia="en-GB"/>
        </w:rPr>
      </w:pPr>
    </w:p>
    <w:p w14:paraId="44841514" w14:textId="1A297DA1" w:rsidR="00D33F3E" w:rsidRDefault="00D33F3E" w:rsidP="00B32DE2">
      <w:pPr>
        <w:ind w:right="272"/>
        <w:rPr>
          <w:rFonts w:eastAsia="Arial"/>
          <w:b/>
          <w:bCs/>
          <w:sz w:val="28"/>
          <w:szCs w:val="28"/>
          <w:lang w:val="en-AE" w:eastAsia="en-GB"/>
        </w:rPr>
      </w:pPr>
    </w:p>
    <w:sectPr w:rsidR="00D33F3E" w:rsidSect="00DB0978">
      <w:footerReference w:type="default" r:id="rId15"/>
      <w:pgSz w:w="12240" w:h="15840"/>
      <w:pgMar w:top="851" w:right="900" w:bottom="851" w:left="1353"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2CA4" w14:textId="77777777" w:rsidR="00FA6635" w:rsidRDefault="00FA6635">
      <w:r>
        <w:separator/>
      </w:r>
    </w:p>
  </w:endnote>
  <w:endnote w:type="continuationSeparator" w:id="0">
    <w:p w14:paraId="128FF101" w14:textId="77777777" w:rsidR="00FA6635" w:rsidRDefault="00FA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6497"/>
      <w:docPartObj>
        <w:docPartGallery w:val="Page Numbers (Bottom of Page)"/>
        <w:docPartUnique/>
      </w:docPartObj>
    </w:sdtPr>
    <w:sdtEndPr/>
    <w:sdtContent>
      <w:p w14:paraId="1E0876AA" w14:textId="65E416CA" w:rsidR="0063604A" w:rsidRDefault="0063604A">
        <w:pPr>
          <w:pStyle w:val="Footer"/>
          <w:jc w:val="right"/>
        </w:pPr>
        <w:r>
          <w:fldChar w:fldCharType="begin"/>
        </w:r>
        <w:r>
          <w:instrText>PAGE   \* MERGEFORMAT</w:instrText>
        </w:r>
        <w:r>
          <w:fldChar w:fldCharType="separate"/>
        </w:r>
        <w:r>
          <w:rPr>
            <w:lang w:val="fr-FR"/>
          </w:rPr>
          <w:t>2</w:t>
        </w:r>
        <w:r>
          <w:fldChar w:fldCharType="end"/>
        </w:r>
      </w:p>
    </w:sdtContent>
  </w:sdt>
  <w:p w14:paraId="19DBC147" w14:textId="62136B4E" w:rsidR="002469A9" w:rsidRDefault="002469A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0F0E" w14:textId="77777777" w:rsidR="00FA6635" w:rsidRDefault="00FA6635">
      <w:r>
        <w:separator/>
      </w:r>
    </w:p>
  </w:footnote>
  <w:footnote w:type="continuationSeparator" w:id="0">
    <w:p w14:paraId="3A8840E1" w14:textId="77777777" w:rsidR="00FA6635" w:rsidRDefault="00FA6635">
      <w:r>
        <w:continuationSeparator/>
      </w:r>
    </w:p>
  </w:footnote>
  <w:footnote w:id="1">
    <w:p w14:paraId="3A7A0F9A" w14:textId="77777777" w:rsidR="001C2A58" w:rsidRPr="004C7B6D" w:rsidRDefault="001C2A58" w:rsidP="001C2A58">
      <w:pPr>
        <w:rPr>
          <w:i/>
          <w:iCs/>
          <w:sz w:val="20"/>
          <w:szCs w:val="20"/>
        </w:rPr>
      </w:pPr>
      <w:r w:rsidRPr="00B602CE">
        <w:rPr>
          <w:rStyle w:val="FootnoteReference"/>
          <w:sz w:val="20"/>
          <w:szCs w:val="20"/>
        </w:rPr>
        <w:footnoteRef/>
      </w:r>
      <w:r w:rsidRPr="00B602CE">
        <w:rPr>
          <w:sz w:val="20"/>
          <w:szCs w:val="20"/>
        </w:rPr>
        <w:t xml:space="preserve"> </w:t>
      </w:r>
      <w:r w:rsidRPr="004C7B6D">
        <w:rPr>
          <w:i/>
          <w:iCs/>
          <w:sz w:val="20"/>
          <w:szCs w:val="20"/>
        </w:rPr>
        <w:t>Our Common Agenda-</w:t>
      </w:r>
      <w:hyperlink r:id="rId1" w:history="1">
        <w:r w:rsidRPr="004C7B6D">
          <w:rPr>
            <w:i/>
            <w:iCs/>
            <w:color w:val="0000FF"/>
            <w:sz w:val="20"/>
            <w:szCs w:val="20"/>
            <w:u w:val="single"/>
          </w:rPr>
          <w:t>https://www.un.org/en/un75/common-agenda</w:t>
        </w:r>
      </w:hyperlink>
    </w:p>
    <w:p w14:paraId="77B55099" w14:textId="431F57A4" w:rsidR="001C2A58" w:rsidRPr="004C7B6D" w:rsidRDefault="001C2A58" w:rsidP="001C2A58">
      <w:pPr>
        <w:pStyle w:val="FootnoteText"/>
        <w:rPr>
          <w:i/>
          <w:iCs/>
        </w:rPr>
      </w:pPr>
      <w:r w:rsidRPr="004C7B6D">
        <w:rPr>
          <w:i/>
          <w:iCs/>
        </w:rPr>
        <w:t xml:space="preserve">Report of the UN Secretary General-2021 is an </w:t>
      </w:r>
      <w:r w:rsidR="004C7B6D">
        <w:rPr>
          <w:i/>
          <w:iCs/>
        </w:rPr>
        <w:t>A</w:t>
      </w:r>
      <w:r w:rsidRPr="004C7B6D">
        <w:rPr>
          <w:i/>
          <w:iCs/>
        </w:rPr>
        <w:t xml:space="preserve">genda of action designed to accelerate the implementation of existing agreements, including the SDGs. </w:t>
      </w:r>
    </w:p>
  </w:footnote>
  <w:footnote w:id="2">
    <w:p w14:paraId="533F9775" w14:textId="77C57526" w:rsidR="001C2A58" w:rsidRPr="004C7B6D" w:rsidRDefault="001C2A58" w:rsidP="004C7B6D">
      <w:pPr>
        <w:rPr>
          <w:i/>
          <w:iCs/>
          <w:sz w:val="20"/>
          <w:szCs w:val="20"/>
        </w:rPr>
      </w:pPr>
      <w:r w:rsidRPr="00734B7E">
        <w:rPr>
          <w:rStyle w:val="FootnoteReference"/>
          <w:sz w:val="20"/>
          <w:szCs w:val="20"/>
        </w:rPr>
        <w:footnoteRef/>
      </w:r>
      <w:r w:rsidR="004C7B6D" w:rsidRPr="00734B7E">
        <w:rPr>
          <w:sz w:val="20"/>
          <w:szCs w:val="20"/>
        </w:rPr>
        <w:t xml:space="preserve"> </w:t>
      </w:r>
      <w:r w:rsidRPr="004C7B6D">
        <w:rPr>
          <w:i/>
          <w:iCs/>
          <w:sz w:val="20"/>
          <w:szCs w:val="20"/>
        </w:rPr>
        <w:t xml:space="preserve">UNDESA Policy Brief # 75 May 2020: COVID-19 Reaffirming state-people governance relationships </w:t>
      </w:r>
      <w:hyperlink r:id="rId2" w:history="1">
        <w:r w:rsidRPr="004C7B6D">
          <w:rPr>
            <w:rStyle w:val="Hyperlink"/>
            <w:i/>
            <w:iCs/>
            <w:sz w:val="20"/>
            <w:szCs w:val="20"/>
          </w:rPr>
          <w:t>https://www.un.org/development/desa/dpad/publication/un-desa-policy-brief-75-covid-19-reaffirming-state-people-governance-relationships/</w:t>
        </w:r>
      </w:hyperlink>
    </w:p>
  </w:footnote>
  <w:footnote w:id="3">
    <w:p w14:paraId="19B3B435" w14:textId="221CAC9A" w:rsidR="004C7B6D" w:rsidRPr="004C7B6D" w:rsidRDefault="004C7B6D">
      <w:pPr>
        <w:pStyle w:val="FootnoteText"/>
        <w:rPr>
          <w:i/>
          <w:iCs/>
        </w:rPr>
      </w:pPr>
      <w:r>
        <w:rPr>
          <w:rStyle w:val="FootnoteReference"/>
        </w:rPr>
        <w:footnoteRef/>
      </w:r>
      <w:r>
        <w:t xml:space="preserve"> </w:t>
      </w:r>
      <w:r w:rsidRPr="004C7B6D">
        <w:rPr>
          <w:i/>
          <w:iCs/>
        </w:rPr>
        <w:t xml:space="preserve">CEPA Principles of effective Governance </w:t>
      </w:r>
      <w:hyperlink r:id="rId3" w:history="1">
        <w:r w:rsidRPr="004C7B6D">
          <w:rPr>
            <w:rStyle w:val="Hyperlink"/>
            <w:i/>
            <w:iCs/>
          </w:rPr>
          <w:t>https://publicadministration.un.org/Portals/1/Images/CEPA/Principles_of_effective_governance_english.pdf</w:t>
        </w:r>
      </w:hyperlink>
    </w:p>
  </w:footnote>
  <w:footnote w:id="4">
    <w:p w14:paraId="6BCFBC3F" w14:textId="77777777" w:rsidR="001C2A58" w:rsidRPr="008B2F83" w:rsidRDefault="001C2A58" w:rsidP="001C2A58">
      <w:pPr>
        <w:rPr>
          <w:i/>
          <w:iCs/>
          <w:sz w:val="20"/>
          <w:szCs w:val="20"/>
        </w:rPr>
      </w:pPr>
      <w:r>
        <w:rPr>
          <w:rStyle w:val="FootnoteReference"/>
        </w:rPr>
        <w:footnoteRef/>
      </w:r>
      <w:r>
        <w:t xml:space="preserve"> </w:t>
      </w:r>
      <w:r w:rsidRPr="008B2F83">
        <w:rPr>
          <w:i/>
          <w:iCs/>
          <w:sz w:val="20"/>
          <w:szCs w:val="20"/>
        </w:rPr>
        <w:t xml:space="preserve">ECOSOC – CEPA: Key messages and recommendations March 2021 “Building inclusive, effective and resilient institutions for sustainable recovery from the coronavirus disease pandemic and timely implementation of the SDGs” </w:t>
      </w:r>
      <w:hyperlink r:id="rId4" w:history="1">
        <w:r w:rsidRPr="008B2F83">
          <w:rPr>
            <w:rStyle w:val="Hyperlink"/>
            <w:i/>
            <w:iCs/>
            <w:sz w:val="20"/>
            <w:szCs w:val="20"/>
          </w:rPr>
          <w:t>https://publicadministration.un.org/portals/1/cepa%20contribution%20to%202021%20hlpf.pdf</w:t>
        </w:r>
      </w:hyperlink>
    </w:p>
  </w:footnote>
  <w:footnote w:id="5">
    <w:p w14:paraId="1B759F45" w14:textId="5B76579F" w:rsidR="001C2A58" w:rsidRPr="008B2F83" w:rsidRDefault="001C2A58" w:rsidP="008B2F83">
      <w:pPr>
        <w:pStyle w:val="FootnoteText"/>
        <w:ind w:right="489"/>
        <w:rPr>
          <w:i/>
          <w:iCs/>
        </w:rPr>
      </w:pPr>
      <w:r w:rsidRPr="00B602CE">
        <w:rPr>
          <w:rStyle w:val="FootnoteReference"/>
        </w:rPr>
        <w:footnoteRef/>
      </w:r>
      <w:r w:rsidRPr="00B602CE">
        <w:t xml:space="preserve"> </w:t>
      </w:r>
      <w:r w:rsidRPr="008B2F83">
        <w:rPr>
          <w:i/>
          <w:iCs/>
        </w:rPr>
        <w:t xml:space="preserve">“Reaffirming State-People Governance Relationships”, UNDESA Policy Brief – prepared by John-Mary Kauzya, </w:t>
      </w:r>
      <w:r w:rsidR="00C17B75">
        <w:rPr>
          <w:i/>
          <w:iCs/>
        </w:rPr>
        <w:t xml:space="preserve">Former </w:t>
      </w:r>
      <w:r w:rsidRPr="008B2F83">
        <w:rPr>
          <w:i/>
          <w:iCs/>
        </w:rPr>
        <w:t>Chief of Public Service Innovation Branch/DPIDG – May 2020</w:t>
      </w:r>
      <w:r w:rsidR="008B2F83">
        <w:rPr>
          <w:i/>
          <w:iCs/>
        </w:rPr>
        <w:t>.</w:t>
      </w:r>
    </w:p>
  </w:footnote>
  <w:footnote w:id="6">
    <w:p w14:paraId="0A6BE094" w14:textId="7E4E9A0E" w:rsidR="001C2A58" w:rsidRPr="008B2F83" w:rsidRDefault="001C2A58" w:rsidP="001C2A58">
      <w:pPr>
        <w:rPr>
          <w:i/>
          <w:iCs/>
          <w:sz w:val="20"/>
          <w:szCs w:val="20"/>
        </w:rPr>
      </w:pPr>
      <w:r w:rsidRPr="00B602CE">
        <w:rPr>
          <w:rStyle w:val="FootnoteReference"/>
          <w:sz w:val="20"/>
          <w:szCs w:val="20"/>
        </w:rPr>
        <w:footnoteRef/>
      </w:r>
      <w:r w:rsidR="008B2F83">
        <w:rPr>
          <w:sz w:val="20"/>
          <w:szCs w:val="20"/>
        </w:rPr>
        <w:t xml:space="preserve"> </w:t>
      </w:r>
      <w:r w:rsidRPr="008B2F83">
        <w:rPr>
          <w:i/>
          <w:iCs/>
          <w:sz w:val="20"/>
          <w:szCs w:val="20"/>
        </w:rPr>
        <w:t>Report on the 20</w:t>
      </w:r>
      <w:r w:rsidRPr="008B2F83">
        <w:rPr>
          <w:i/>
          <w:iCs/>
          <w:sz w:val="20"/>
          <w:szCs w:val="20"/>
          <w:vertAlign w:val="superscript"/>
        </w:rPr>
        <w:t>th</w:t>
      </w:r>
      <w:r w:rsidRPr="008B2F83">
        <w:rPr>
          <w:i/>
          <w:iCs/>
          <w:sz w:val="20"/>
          <w:szCs w:val="20"/>
        </w:rPr>
        <w:t xml:space="preserve"> session of CEPA (April 2021) </w:t>
      </w:r>
      <w:hyperlink r:id="rId5" w:history="1">
        <w:r w:rsidRPr="008B2F83">
          <w:rPr>
            <w:rStyle w:val="Hyperlink"/>
            <w:i/>
            <w:iCs/>
            <w:sz w:val="20"/>
            <w:szCs w:val="20"/>
          </w:rPr>
          <w:t>https://undocs.org/en/e/c.16/2021/7</w:t>
        </w:r>
      </w:hyperlink>
    </w:p>
  </w:footnote>
  <w:footnote w:id="7">
    <w:p w14:paraId="67933E51" w14:textId="77777777" w:rsidR="001C2A58" w:rsidRPr="00B602CE" w:rsidRDefault="001C2A58" w:rsidP="001C2A58">
      <w:pPr>
        <w:pStyle w:val="FootnoteText"/>
      </w:pPr>
      <w:r w:rsidRPr="00B602CE">
        <w:rPr>
          <w:rStyle w:val="FootnoteReference"/>
        </w:rPr>
        <w:footnoteRef/>
      </w:r>
      <w:r w:rsidRPr="00B602CE">
        <w:t xml:space="preserve"> </w:t>
      </w:r>
      <w:r w:rsidRPr="008B2F83">
        <w:rPr>
          <w:i/>
          <w:iCs/>
        </w:rPr>
        <w:t xml:space="preserve">CEPA - Principles of effective governance for sustainable development </w:t>
      </w:r>
      <w:hyperlink r:id="rId6" w:history="1">
        <w:r w:rsidRPr="008B2F83">
          <w:rPr>
            <w:rStyle w:val="Hyperlink"/>
            <w:i/>
            <w:iCs/>
          </w:rPr>
          <w:t>https://publicadministration.un.org/en/Intergovernmental-Support/CEPA/Principles-of-Effective-Governance</w:t>
        </w:r>
      </w:hyperlink>
    </w:p>
  </w:footnote>
  <w:footnote w:id="8">
    <w:p w14:paraId="16CA9E3E" w14:textId="77777777" w:rsidR="001C2A58" w:rsidRPr="008B2F83" w:rsidRDefault="001C2A58" w:rsidP="001C2A58">
      <w:pPr>
        <w:pStyle w:val="FootnoteText"/>
        <w:rPr>
          <w:i/>
          <w:iCs/>
        </w:rPr>
      </w:pPr>
      <w:r w:rsidRPr="0063604A">
        <w:rPr>
          <w:rStyle w:val="FootnoteReference"/>
          <w:sz w:val="22"/>
          <w:szCs w:val="22"/>
        </w:rPr>
        <w:footnoteRef/>
      </w:r>
      <w:r w:rsidRPr="0063604A">
        <w:rPr>
          <w:sz w:val="22"/>
          <w:szCs w:val="22"/>
        </w:rPr>
        <w:t xml:space="preserve"> </w:t>
      </w:r>
      <w:r w:rsidRPr="008B2F83">
        <w:rPr>
          <w:i/>
          <w:iCs/>
        </w:rPr>
        <w:t>https://publicadministration.un.org/Portals/1/Images/CEPA/Principles_of_effective_governance_english.pdf</w:t>
      </w:r>
    </w:p>
  </w:footnote>
  <w:footnote w:id="9">
    <w:p w14:paraId="1C7C9277" w14:textId="3D7682C8" w:rsidR="00B31381" w:rsidRPr="001C2A58" w:rsidRDefault="00B31381" w:rsidP="001212BA">
      <w:r>
        <w:rPr>
          <w:rStyle w:val="FootnoteReference"/>
        </w:rPr>
        <w:footnoteRef/>
      </w:r>
      <w:r>
        <w:t xml:space="preserve"> </w:t>
      </w:r>
      <w:hyperlink r:id="rId7" w:history="1">
        <w:r>
          <w:rPr>
            <w:rStyle w:val="Hyperlink"/>
          </w:rPr>
          <w:t>https://www.un.org/en/desa</w:t>
        </w:r>
      </w:hyperlink>
    </w:p>
  </w:footnote>
  <w:footnote w:id="10">
    <w:p w14:paraId="136BCAA6" w14:textId="7B8613A2" w:rsidR="0061274C" w:rsidRDefault="0061274C">
      <w:pPr>
        <w:pStyle w:val="FootnoteText"/>
      </w:pPr>
      <w:r>
        <w:rPr>
          <w:rStyle w:val="FootnoteReference"/>
        </w:rPr>
        <w:footnoteRef/>
      </w:r>
      <w:r>
        <w:t xml:space="preserve"> </w:t>
      </w:r>
      <w:hyperlink r:id="rId8" w:history="1">
        <w:r w:rsidRPr="002B60A5">
          <w:rPr>
            <w:rStyle w:val="Hyperlink"/>
          </w:rPr>
          <w:t>https://apshrmnet.org/</w:t>
        </w:r>
      </w:hyperlink>
    </w:p>
    <w:p w14:paraId="42012C63" w14:textId="77777777" w:rsidR="0061274C" w:rsidRPr="0061274C" w:rsidRDefault="0061274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5A"/>
    <w:multiLevelType w:val="multilevel"/>
    <w:tmpl w:val="185A8352"/>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 w15:restartNumberingAfterBreak="0">
    <w:nsid w:val="06AC2DB7"/>
    <w:multiLevelType w:val="hybridMultilevel"/>
    <w:tmpl w:val="21CC0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63614"/>
    <w:multiLevelType w:val="multilevel"/>
    <w:tmpl w:val="CAB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E4DE5"/>
    <w:multiLevelType w:val="hybridMultilevel"/>
    <w:tmpl w:val="98B4BBA6"/>
    <w:lvl w:ilvl="0" w:tplc="507871D8">
      <w:start w:val="1"/>
      <w:numFmt w:val="decimal"/>
      <w:lvlText w:val="%1."/>
      <w:lvlJc w:val="left"/>
      <w:pPr>
        <w:ind w:left="107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F3163"/>
    <w:multiLevelType w:val="hybridMultilevel"/>
    <w:tmpl w:val="FF16B09A"/>
    <w:lvl w:ilvl="0" w:tplc="8272C0DA">
      <w:numFmt w:val="bullet"/>
      <w:lvlText w:val="-"/>
      <w:lvlJc w:val="left"/>
      <w:pPr>
        <w:ind w:left="3" w:hanging="360"/>
      </w:pPr>
      <w:rPr>
        <w:rFonts w:ascii="Times New Roman" w:eastAsia="Times New Roman" w:hAnsi="Times New Roman" w:cs="Times New Roman" w:hint="default"/>
        <w:sz w:val="28"/>
      </w:rPr>
    </w:lvl>
    <w:lvl w:ilvl="1" w:tplc="040C0003" w:tentative="1">
      <w:start w:val="1"/>
      <w:numFmt w:val="bullet"/>
      <w:lvlText w:val="o"/>
      <w:lvlJc w:val="left"/>
      <w:pPr>
        <w:ind w:left="723" w:hanging="360"/>
      </w:pPr>
      <w:rPr>
        <w:rFonts w:ascii="Courier New" w:hAnsi="Courier New" w:cs="Courier New" w:hint="default"/>
      </w:rPr>
    </w:lvl>
    <w:lvl w:ilvl="2" w:tplc="040C0005" w:tentative="1">
      <w:start w:val="1"/>
      <w:numFmt w:val="bullet"/>
      <w:lvlText w:val=""/>
      <w:lvlJc w:val="left"/>
      <w:pPr>
        <w:ind w:left="1443" w:hanging="360"/>
      </w:pPr>
      <w:rPr>
        <w:rFonts w:ascii="Wingdings" w:hAnsi="Wingdings" w:hint="default"/>
      </w:rPr>
    </w:lvl>
    <w:lvl w:ilvl="3" w:tplc="040C0001" w:tentative="1">
      <w:start w:val="1"/>
      <w:numFmt w:val="bullet"/>
      <w:lvlText w:val=""/>
      <w:lvlJc w:val="left"/>
      <w:pPr>
        <w:ind w:left="2163" w:hanging="360"/>
      </w:pPr>
      <w:rPr>
        <w:rFonts w:ascii="Symbol" w:hAnsi="Symbol" w:hint="default"/>
      </w:rPr>
    </w:lvl>
    <w:lvl w:ilvl="4" w:tplc="040C0003" w:tentative="1">
      <w:start w:val="1"/>
      <w:numFmt w:val="bullet"/>
      <w:lvlText w:val="o"/>
      <w:lvlJc w:val="left"/>
      <w:pPr>
        <w:ind w:left="2883" w:hanging="360"/>
      </w:pPr>
      <w:rPr>
        <w:rFonts w:ascii="Courier New" w:hAnsi="Courier New" w:cs="Courier New" w:hint="default"/>
      </w:rPr>
    </w:lvl>
    <w:lvl w:ilvl="5" w:tplc="040C0005" w:tentative="1">
      <w:start w:val="1"/>
      <w:numFmt w:val="bullet"/>
      <w:lvlText w:val=""/>
      <w:lvlJc w:val="left"/>
      <w:pPr>
        <w:ind w:left="3603" w:hanging="360"/>
      </w:pPr>
      <w:rPr>
        <w:rFonts w:ascii="Wingdings" w:hAnsi="Wingdings" w:hint="default"/>
      </w:rPr>
    </w:lvl>
    <w:lvl w:ilvl="6" w:tplc="040C0001" w:tentative="1">
      <w:start w:val="1"/>
      <w:numFmt w:val="bullet"/>
      <w:lvlText w:val=""/>
      <w:lvlJc w:val="left"/>
      <w:pPr>
        <w:ind w:left="4323" w:hanging="360"/>
      </w:pPr>
      <w:rPr>
        <w:rFonts w:ascii="Symbol" w:hAnsi="Symbol" w:hint="default"/>
      </w:rPr>
    </w:lvl>
    <w:lvl w:ilvl="7" w:tplc="040C0003" w:tentative="1">
      <w:start w:val="1"/>
      <w:numFmt w:val="bullet"/>
      <w:lvlText w:val="o"/>
      <w:lvlJc w:val="left"/>
      <w:pPr>
        <w:ind w:left="5043" w:hanging="360"/>
      </w:pPr>
      <w:rPr>
        <w:rFonts w:ascii="Courier New" w:hAnsi="Courier New" w:cs="Courier New" w:hint="default"/>
      </w:rPr>
    </w:lvl>
    <w:lvl w:ilvl="8" w:tplc="040C0005" w:tentative="1">
      <w:start w:val="1"/>
      <w:numFmt w:val="bullet"/>
      <w:lvlText w:val=""/>
      <w:lvlJc w:val="left"/>
      <w:pPr>
        <w:ind w:left="5763" w:hanging="360"/>
      </w:pPr>
      <w:rPr>
        <w:rFonts w:ascii="Wingdings" w:hAnsi="Wingdings" w:hint="default"/>
      </w:rPr>
    </w:lvl>
  </w:abstractNum>
  <w:abstractNum w:abstractNumId="5" w15:restartNumberingAfterBreak="0">
    <w:nsid w:val="111C1E8E"/>
    <w:multiLevelType w:val="hybridMultilevel"/>
    <w:tmpl w:val="504A767E"/>
    <w:lvl w:ilvl="0" w:tplc="65806796">
      <w:start w:val="17"/>
      <w:numFmt w:val="bullet"/>
      <w:lvlText w:val="-"/>
      <w:lvlJc w:val="left"/>
      <w:pPr>
        <w:ind w:left="360" w:hanging="360"/>
      </w:pPr>
      <w:rPr>
        <w:rFonts w:ascii="Open Sans" w:eastAsia="Times New Roman" w:hAnsi="Open Sans" w:cs="Open San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7F1167"/>
    <w:multiLevelType w:val="hybridMultilevel"/>
    <w:tmpl w:val="0D283B02"/>
    <w:lvl w:ilvl="0" w:tplc="4F8E606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751E"/>
    <w:multiLevelType w:val="hybridMultilevel"/>
    <w:tmpl w:val="0EE6E33E"/>
    <w:lvl w:ilvl="0" w:tplc="419416A4">
      <w:start w:val="1"/>
      <w:numFmt w:val="decimal"/>
      <w:lvlText w:val="%1."/>
      <w:lvlJc w:val="left"/>
      <w:pPr>
        <w:ind w:left="720" w:hanging="360"/>
      </w:pPr>
      <w:rPr>
        <w:rFonts w:ascii="Lato" w:eastAsia="Lato" w:hAnsi="Lato" w:cs="Lat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70981"/>
    <w:multiLevelType w:val="hybridMultilevel"/>
    <w:tmpl w:val="447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668E5"/>
    <w:multiLevelType w:val="multilevel"/>
    <w:tmpl w:val="B4441318"/>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8644255"/>
    <w:multiLevelType w:val="multilevel"/>
    <w:tmpl w:val="CD46B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E04E18"/>
    <w:multiLevelType w:val="hybridMultilevel"/>
    <w:tmpl w:val="F4F26914"/>
    <w:lvl w:ilvl="0" w:tplc="CE5428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038A5"/>
    <w:multiLevelType w:val="multilevel"/>
    <w:tmpl w:val="A50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F51BFD"/>
    <w:multiLevelType w:val="hybridMultilevel"/>
    <w:tmpl w:val="BD249840"/>
    <w:lvl w:ilvl="0" w:tplc="7228E030">
      <w:start w:val="1"/>
      <w:numFmt w:val="bullet"/>
      <w:lvlText w:val="-"/>
      <w:lvlJc w:val="left"/>
      <w:pPr>
        <w:tabs>
          <w:tab w:val="num" w:pos="720"/>
        </w:tabs>
        <w:ind w:left="720" w:hanging="360"/>
      </w:pPr>
      <w:rPr>
        <w:rFonts w:ascii="Times" w:hAnsi="Times" w:hint="default"/>
      </w:rPr>
    </w:lvl>
    <w:lvl w:ilvl="1" w:tplc="36E0BE32" w:tentative="1">
      <w:start w:val="1"/>
      <w:numFmt w:val="bullet"/>
      <w:lvlText w:val="-"/>
      <w:lvlJc w:val="left"/>
      <w:pPr>
        <w:tabs>
          <w:tab w:val="num" w:pos="1440"/>
        </w:tabs>
        <w:ind w:left="1440" w:hanging="360"/>
      </w:pPr>
      <w:rPr>
        <w:rFonts w:ascii="Times" w:hAnsi="Times" w:hint="default"/>
      </w:rPr>
    </w:lvl>
    <w:lvl w:ilvl="2" w:tplc="2A205296" w:tentative="1">
      <w:start w:val="1"/>
      <w:numFmt w:val="bullet"/>
      <w:lvlText w:val="-"/>
      <w:lvlJc w:val="left"/>
      <w:pPr>
        <w:tabs>
          <w:tab w:val="num" w:pos="2160"/>
        </w:tabs>
        <w:ind w:left="2160" w:hanging="360"/>
      </w:pPr>
      <w:rPr>
        <w:rFonts w:ascii="Times" w:hAnsi="Times" w:hint="default"/>
      </w:rPr>
    </w:lvl>
    <w:lvl w:ilvl="3" w:tplc="A8D20190" w:tentative="1">
      <w:start w:val="1"/>
      <w:numFmt w:val="bullet"/>
      <w:lvlText w:val="-"/>
      <w:lvlJc w:val="left"/>
      <w:pPr>
        <w:tabs>
          <w:tab w:val="num" w:pos="2880"/>
        </w:tabs>
        <w:ind w:left="2880" w:hanging="360"/>
      </w:pPr>
      <w:rPr>
        <w:rFonts w:ascii="Times" w:hAnsi="Times" w:hint="default"/>
      </w:rPr>
    </w:lvl>
    <w:lvl w:ilvl="4" w:tplc="2DBE5082" w:tentative="1">
      <w:start w:val="1"/>
      <w:numFmt w:val="bullet"/>
      <w:lvlText w:val="-"/>
      <w:lvlJc w:val="left"/>
      <w:pPr>
        <w:tabs>
          <w:tab w:val="num" w:pos="3600"/>
        </w:tabs>
        <w:ind w:left="3600" w:hanging="360"/>
      </w:pPr>
      <w:rPr>
        <w:rFonts w:ascii="Times" w:hAnsi="Times" w:hint="default"/>
      </w:rPr>
    </w:lvl>
    <w:lvl w:ilvl="5" w:tplc="EBC695E6" w:tentative="1">
      <w:start w:val="1"/>
      <w:numFmt w:val="bullet"/>
      <w:lvlText w:val="-"/>
      <w:lvlJc w:val="left"/>
      <w:pPr>
        <w:tabs>
          <w:tab w:val="num" w:pos="4320"/>
        </w:tabs>
        <w:ind w:left="4320" w:hanging="360"/>
      </w:pPr>
      <w:rPr>
        <w:rFonts w:ascii="Times" w:hAnsi="Times" w:hint="default"/>
      </w:rPr>
    </w:lvl>
    <w:lvl w:ilvl="6" w:tplc="1FDEFFDA" w:tentative="1">
      <w:start w:val="1"/>
      <w:numFmt w:val="bullet"/>
      <w:lvlText w:val="-"/>
      <w:lvlJc w:val="left"/>
      <w:pPr>
        <w:tabs>
          <w:tab w:val="num" w:pos="5040"/>
        </w:tabs>
        <w:ind w:left="5040" w:hanging="360"/>
      </w:pPr>
      <w:rPr>
        <w:rFonts w:ascii="Times" w:hAnsi="Times" w:hint="default"/>
      </w:rPr>
    </w:lvl>
    <w:lvl w:ilvl="7" w:tplc="0338FD1A" w:tentative="1">
      <w:start w:val="1"/>
      <w:numFmt w:val="bullet"/>
      <w:lvlText w:val="-"/>
      <w:lvlJc w:val="left"/>
      <w:pPr>
        <w:tabs>
          <w:tab w:val="num" w:pos="5760"/>
        </w:tabs>
        <w:ind w:left="5760" w:hanging="360"/>
      </w:pPr>
      <w:rPr>
        <w:rFonts w:ascii="Times" w:hAnsi="Times" w:hint="default"/>
      </w:rPr>
    </w:lvl>
    <w:lvl w:ilvl="8" w:tplc="6F46608A"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2D9A343A"/>
    <w:multiLevelType w:val="multilevel"/>
    <w:tmpl w:val="9A4E3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AE1EE3"/>
    <w:multiLevelType w:val="hybridMultilevel"/>
    <w:tmpl w:val="49E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07EB1"/>
    <w:multiLevelType w:val="multilevel"/>
    <w:tmpl w:val="396A0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B6"/>
    <w:multiLevelType w:val="hybridMultilevel"/>
    <w:tmpl w:val="49EA1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284CEA"/>
    <w:multiLevelType w:val="hybridMultilevel"/>
    <w:tmpl w:val="95042612"/>
    <w:lvl w:ilvl="0" w:tplc="D264FC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B75B5"/>
    <w:multiLevelType w:val="multilevel"/>
    <w:tmpl w:val="CD46B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E15984"/>
    <w:multiLevelType w:val="multilevel"/>
    <w:tmpl w:val="D750A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1A1BE6"/>
    <w:multiLevelType w:val="multilevel"/>
    <w:tmpl w:val="F0489B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F4226B4"/>
    <w:multiLevelType w:val="multilevel"/>
    <w:tmpl w:val="21226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D996019"/>
    <w:multiLevelType w:val="hybridMultilevel"/>
    <w:tmpl w:val="4C26C8B4"/>
    <w:lvl w:ilvl="0" w:tplc="5B74E302">
      <w:numFmt w:val="bullet"/>
      <w:lvlText w:val="-"/>
      <w:lvlJc w:val="left"/>
      <w:pPr>
        <w:ind w:left="502" w:hanging="360"/>
      </w:pPr>
      <w:rPr>
        <w:rFonts w:ascii="Times New Roman" w:eastAsia="Arial"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706A7044"/>
    <w:multiLevelType w:val="hybridMultilevel"/>
    <w:tmpl w:val="D4C057A2"/>
    <w:lvl w:ilvl="0" w:tplc="45288CE6">
      <w:start w:val="1"/>
      <w:numFmt w:val="decimal"/>
      <w:lvlText w:val="%1."/>
      <w:lvlJc w:val="left"/>
      <w:pPr>
        <w:ind w:left="720" w:hanging="360"/>
      </w:pPr>
      <w:rPr>
        <w:rFonts w:ascii="Lato" w:eastAsia="Lato" w:hAnsi="Lato" w:cs="Lat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73BFD"/>
    <w:multiLevelType w:val="hybridMultilevel"/>
    <w:tmpl w:val="F9CE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3387A"/>
    <w:multiLevelType w:val="multilevel"/>
    <w:tmpl w:val="C0E6B76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7D4C12D1"/>
    <w:multiLevelType w:val="hybridMultilevel"/>
    <w:tmpl w:val="9558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5626584">
    <w:abstractNumId w:val="20"/>
  </w:num>
  <w:num w:numId="2" w16cid:durableId="556859587">
    <w:abstractNumId w:val="14"/>
  </w:num>
  <w:num w:numId="3" w16cid:durableId="1335690914">
    <w:abstractNumId w:val="9"/>
  </w:num>
  <w:num w:numId="4" w16cid:durableId="1862083704">
    <w:abstractNumId w:val="26"/>
  </w:num>
  <w:num w:numId="5" w16cid:durableId="1788962101">
    <w:abstractNumId w:val="16"/>
  </w:num>
  <w:num w:numId="6" w16cid:durableId="119997862">
    <w:abstractNumId w:val="22"/>
  </w:num>
  <w:num w:numId="7" w16cid:durableId="831138244">
    <w:abstractNumId w:val="0"/>
  </w:num>
  <w:num w:numId="8" w16cid:durableId="1596867082">
    <w:abstractNumId w:val="10"/>
  </w:num>
  <w:num w:numId="9" w16cid:durableId="1179463093">
    <w:abstractNumId w:val="21"/>
  </w:num>
  <w:num w:numId="10" w16cid:durableId="1394696385">
    <w:abstractNumId w:val="12"/>
  </w:num>
  <w:num w:numId="11" w16cid:durableId="201136708">
    <w:abstractNumId w:val="2"/>
  </w:num>
  <w:num w:numId="12" w16cid:durableId="892228848">
    <w:abstractNumId w:val="19"/>
  </w:num>
  <w:num w:numId="13" w16cid:durableId="875582189">
    <w:abstractNumId w:val="17"/>
  </w:num>
  <w:num w:numId="14" w16cid:durableId="602882375">
    <w:abstractNumId w:val="11"/>
  </w:num>
  <w:num w:numId="15" w16cid:durableId="545027819">
    <w:abstractNumId w:val="6"/>
  </w:num>
  <w:num w:numId="16" w16cid:durableId="758450578">
    <w:abstractNumId w:val="1"/>
  </w:num>
  <w:num w:numId="17" w16cid:durableId="1915502919">
    <w:abstractNumId w:val="27"/>
  </w:num>
  <w:num w:numId="18" w16cid:durableId="1411728764">
    <w:abstractNumId w:val="15"/>
  </w:num>
  <w:num w:numId="19" w16cid:durableId="282926980">
    <w:abstractNumId w:val="8"/>
  </w:num>
  <w:num w:numId="20" w16cid:durableId="44373564">
    <w:abstractNumId w:val="7"/>
  </w:num>
  <w:num w:numId="21" w16cid:durableId="466047970">
    <w:abstractNumId w:val="24"/>
  </w:num>
  <w:num w:numId="22" w16cid:durableId="788595642">
    <w:abstractNumId w:val="3"/>
  </w:num>
  <w:num w:numId="23" w16cid:durableId="608663338">
    <w:abstractNumId w:val="18"/>
  </w:num>
  <w:num w:numId="24" w16cid:durableId="820805217">
    <w:abstractNumId w:val="25"/>
  </w:num>
  <w:num w:numId="25" w16cid:durableId="422800382">
    <w:abstractNumId w:val="23"/>
  </w:num>
  <w:num w:numId="26" w16cid:durableId="1205365498">
    <w:abstractNumId w:val="4"/>
  </w:num>
  <w:num w:numId="27" w16cid:durableId="902372325">
    <w:abstractNumId w:val="5"/>
  </w:num>
  <w:num w:numId="28" w16cid:durableId="1244142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UJTCyMzCwtzI3MjUyUdpeDU4uLM/DyQAsNaAH1vP8ssAAAA"/>
  </w:docVars>
  <w:rsids>
    <w:rsidRoot w:val="002469A9"/>
    <w:rsid w:val="000232BA"/>
    <w:rsid w:val="000364C4"/>
    <w:rsid w:val="00043D04"/>
    <w:rsid w:val="000604CA"/>
    <w:rsid w:val="000644C8"/>
    <w:rsid w:val="000A6103"/>
    <w:rsid w:val="000C64C8"/>
    <w:rsid w:val="00103E64"/>
    <w:rsid w:val="001071F9"/>
    <w:rsid w:val="001212BA"/>
    <w:rsid w:val="00121922"/>
    <w:rsid w:val="00125C7D"/>
    <w:rsid w:val="001669A1"/>
    <w:rsid w:val="00170EF2"/>
    <w:rsid w:val="001816E2"/>
    <w:rsid w:val="001A6D08"/>
    <w:rsid w:val="001C2A58"/>
    <w:rsid w:val="002026F6"/>
    <w:rsid w:val="002058C7"/>
    <w:rsid w:val="00214049"/>
    <w:rsid w:val="00221844"/>
    <w:rsid w:val="00223A39"/>
    <w:rsid w:val="002469A9"/>
    <w:rsid w:val="00293EBE"/>
    <w:rsid w:val="00297675"/>
    <w:rsid w:val="002D3FDE"/>
    <w:rsid w:val="002D5784"/>
    <w:rsid w:val="003072E5"/>
    <w:rsid w:val="003329D1"/>
    <w:rsid w:val="00332C1B"/>
    <w:rsid w:val="00341F5F"/>
    <w:rsid w:val="00354183"/>
    <w:rsid w:val="00372CFF"/>
    <w:rsid w:val="003D0BF1"/>
    <w:rsid w:val="003D359A"/>
    <w:rsid w:val="003E2099"/>
    <w:rsid w:val="003E43EB"/>
    <w:rsid w:val="003F0BAD"/>
    <w:rsid w:val="0043192F"/>
    <w:rsid w:val="00452F57"/>
    <w:rsid w:val="004805A5"/>
    <w:rsid w:val="0048259D"/>
    <w:rsid w:val="00482A6B"/>
    <w:rsid w:val="004C6D3C"/>
    <w:rsid w:val="004C762D"/>
    <w:rsid w:val="004C7B6D"/>
    <w:rsid w:val="004E359B"/>
    <w:rsid w:val="004E6096"/>
    <w:rsid w:val="00512CAA"/>
    <w:rsid w:val="00521F80"/>
    <w:rsid w:val="00524228"/>
    <w:rsid w:val="00550AF2"/>
    <w:rsid w:val="00583AA7"/>
    <w:rsid w:val="00586431"/>
    <w:rsid w:val="00587C16"/>
    <w:rsid w:val="005D61BD"/>
    <w:rsid w:val="005F77BA"/>
    <w:rsid w:val="0061274C"/>
    <w:rsid w:val="00612768"/>
    <w:rsid w:val="006140EE"/>
    <w:rsid w:val="00625FB1"/>
    <w:rsid w:val="006358BE"/>
    <w:rsid w:val="0063604A"/>
    <w:rsid w:val="00653349"/>
    <w:rsid w:val="0067349C"/>
    <w:rsid w:val="0067486C"/>
    <w:rsid w:val="00677862"/>
    <w:rsid w:val="0069471E"/>
    <w:rsid w:val="006C15BE"/>
    <w:rsid w:val="006C2B0C"/>
    <w:rsid w:val="006D442A"/>
    <w:rsid w:val="0071294F"/>
    <w:rsid w:val="00717BC3"/>
    <w:rsid w:val="00734B7E"/>
    <w:rsid w:val="00761F39"/>
    <w:rsid w:val="00781116"/>
    <w:rsid w:val="007856D3"/>
    <w:rsid w:val="00794D83"/>
    <w:rsid w:val="007B2109"/>
    <w:rsid w:val="007C482D"/>
    <w:rsid w:val="007D3A2B"/>
    <w:rsid w:val="008247A1"/>
    <w:rsid w:val="0084580C"/>
    <w:rsid w:val="00846A68"/>
    <w:rsid w:val="008B2F83"/>
    <w:rsid w:val="008B5D16"/>
    <w:rsid w:val="0096361E"/>
    <w:rsid w:val="0098137E"/>
    <w:rsid w:val="00990E7C"/>
    <w:rsid w:val="00993D51"/>
    <w:rsid w:val="009E539B"/>
    <w:rsid w:val="00A0416C"/>
    <w:rsid w:val="00A2168B"/>
    <w:rsid w:val="00A6332D"/>
    <w:rsid w:val="00A65AA0"/>
    <w:rsid w:val="00A80C95"/>
    <w:rsid w:val="00A90CF5"/>
    <w:rsid w:val="00A9109F"/>
    <w:rsid w:val="00AA4548"/>
    <w:rsid w:val="00AD0436"/>
    <w:rsid w:val="00AE63C8"/>
    <w:rsid w:val="00AE770F"/>
    <w:rsid w:val="00B31381"/>
    <w:rsid w:val="00B32DE2"/>
    <w:rsid w:val="00B45BA6"/>
    <w:rsid w:val="00B45F79"/>
    <w:rsid w:val="00B877D5"/>
    <w:rsid w:val="00BB42D7"/>
    <w:rsid w:val="00BC0BF1"/>
    <w:rsid w:val="00BF5DA3"/>
    <w:rsid w:val="00C17B75"/>
    <w:rsid w:val="00C4108A"/>
    <w:rsid w:val="00C41216"/>
    <w:rsid w:val="00C42428"/>
    <w:rsid w:val="00C643DA"/>
    <w:rsid w:val="00C66B16"/>
    <w:rsid w:val="00C82344"/>
    <w:rsid w:val="00C8648A"/>
    <w:rsid w:val="00C97945"/>
    <w:rsid w:val="00CB1F6D"/>
    <w:rsid w:val="00CC5AC3"/>
    <w:rsid w:val="00CD3C7E"/>
    <w:rsid w:val="00CE03B6"/>
    <w:rsid w:val="00D0300B"/>
    <w:rsid w:val="00D33F3E"/>
    <w:rsid w:val="00D42C5F"/>
    <w:rsid w:val="00D567B3"/>
    <w:rsid w:val="00D85567"/>
    <w:rsid w:val="00D869C8"/>
    <w:rsid w:val="00DB0978"/>
    <w:rsid w:val="00DE112C"/>
    <w:rsid w:val="00E202B2"/>
    <w:rsid w:val="00E53FF9"/>
    <w:rsid w:val="00E57199"/>
    <w:rsid w:val="00EB0A2D"/>
    <w:rsid w:val="00EB5A73"/>
    <w:rsid w:val="00ED3D47"/>
    <w:rsid w:val="00EE54C4"/>
    <w:rsid w:val="00F2152F"/>
    <w:rsid w:val="00F22495"/>
    <w:rsid w:val="00F241EC"/>
    <w:rsid w:val="00F53E3A"/>
    <w:rsid w:val="00F64721"/>
    <w:rsid w:val="00F657DC"/>
    <w:rsid w:val="00F67EB7"/>
    <w:rsid w:val="00F7478B"/>
    <w:rsid w:val="00F87514"/>
    <w:rsid w:val="00FA6635"/>
    <w:rsid w:val="00FD40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AACF4"/>
  <w15:docId w15:val="{F1A2BE22-DDD0-4040-A8C6-B4BB99E1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58"/>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zh-C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zh-C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eastAsia="zh-C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eastAsia="zh-C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eastAsia="zh-C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zh-C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zh-C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eastAsia="zh-C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168B"/>
    <w:rPr>
      <w:rFonts w:ascii="Segoe UI" w:eastAsia="Arial" w:hAnsi="Segoe UI" w:cs="Segoe UI"/>
      <w:sz w:val="18"/>
      <w:szCs w:val="18"/>
      <w:lang w:val="en" w:eastAsia="zh-CN"/>
    </w:rPr>
  </w:style>
  <w:style w:type="character" w:customStyle="1" w:styleId="BalloonTextChar">
    <w:name w:val="Balloon Text Char"/>
    <w:basedOn w:val="DefaultParagraphFont"/>
    <w:link w:val="BalloonText"/>
    <w:uiPriority w:val="99"/>
    <w:semiHidden/>
    <w:rsid w:val="00A2168B"/>
    <w:rPr>
      <w:rFonts w:ascii="Segoe UI" w:hAnsi="Segoe UI" w:cs="Segoe UI"/>
      <w:sz w:val="18"/>
      <w:szCs w:val="18"/>
    </w:rPr>
  </w:style>
  <w:style w:type="paragraph" w:styleId="Header">
    <w:name w:val="header"/>
    <w:basedOn w:val="Normal"/>
    <w:link w:val="HeaderChar"/>
    <w:unhideWhenUsed/>
    <w:rsid w:val="00C82344"/>
    <w:pPr>
      <w:tabs>
        <w:tab w:val="center" w:pos="4680"/>
        <w:tab w:val="right" w:pos="9360"/>
      </w:tabs>
    </w:pPr>
    <w:rPr>
      <w:rFonts w:ascii="Arial" w:eastAsia="Arial" w:hAnsi="Arial" w:cs="Arial"/>
      <w:sz w:val="22"/>
      <w:szCs w:val="22"/>
      <w:lang w:val="en" w:eastAsia="zh-CN"/>
    </w:rPr>
  </w:style>
  <w:style w:type="character" w:customStyle="1" w:styleId="HeaderChar">
    <w:name w:val="Header Char"/>
    <w:basedOn w:val="DefaultParagraphFont"/>
    <w:link w:val="Header"/>
    <w:rsid w:val="00C82344"/>
  </w:style>
  <w:style w:type="paragraph" w:styleId="Footer">
    <w:name w:val="footer"/>
    <w:basedOn w:val="Normal"/>
    <w:link w:val="FooterChar"/>
    <w:uiPriority w:val="99"/>
    <w:unhideWhenUsed/>
    <w:rsid w:val="00C82344"/>
    <w:pPr>
      <w:tabs>
        <w:tab w:val="center" w:pos="4680"/>
        <w:tab w:val="right" w:pos="9360"/>
      </w:tabs>
    </w:pPr>
    <w:rPr>
      <w:rFonts w:ascii="Arial" w:eastAsia="Arial" w:hAnsi="Arial" w:cs="Arial"/>
      <w:sz w:val="22"/>
      <w:szCs w:val="22"/>
      <w:lang w:val="en" w:eastAsia="zh-CN"/>
    </w:rPr>
  </w:style>
  <w:style w:type="character" w:customStyle="1" w:styleId="FooterChar">
    <w:name w:val="Footer Char"/>
    <w:basedOn w:val="DefaultParagraphFont"/>
    <w:link w:val="Footer"/>
    <w:uiPriority w:val="99"/>
    <w:rsid w:val="00C82344"/>
  </w:style>
  <w:style w:type="paragraph" w:styleId="ListParagraph">
    <w:name w:val="List Paragraph"/>
    <w:basedOn w:val="Normal"/>
    <w:uiPriority w:val="34"/>
    <w:qFormat/>
    <w:rsid w:val="003329D1"/>
    <w:pPr>
      <w:spacing w:line="276" w:lineRule="auto"/>
      <w:ind w:left="720"/>
      <w:contextualSpacing/>
    </w:pPr>
    <w:rPr>
      <w:rFonts w:ascii="Arial" w:eastAsia="Arial" w:hAnsi="Arial" w:cs="Arial"/>
      <w:sz w:val="22"/>
      <w:szCs w:val="22"/>
      <w:lang w:val="en" w:eastAsia="zh-CN"/>
    </w:rPr>
  </w:style>
  <w:style w:type="character" w:styleId="Hyperlink">
    <w:name w:val="Hyperlink"/>
    <w:basedOn w:val="DefaultParagraphFont"/>
    <w:uiPriority w:val="99"/>
    <w:unhideWhenUsed/>
    <w:rsid w:val="002D5784"/>
    <w:rPr>
      <w:color w:val="0000FF" w:themeColor="hyperlink"/>
      <w:u w:val="single"/>
    </w:rPr>
  </w:style>
  <w:style w:type="character" w:styleId="UnresolvedMention">
    <w:name w:val="Unresolved Mention"/>
    <w:basedOn w:val="DefaultParagraphFont"/>
    <w:uiPriority w:val="99"/>
    <w:semiHidden/>
    <w:unhideWhenUsed/>
    <w:rsid w:val="002D5784"/>
    <w:rPr>
      <w:color w:val="605E5C"/>
      <w:shd w:val="clear" w:color="auto" w:fill="E1DFDD"/>
    </w:rPr>
  </w:style>
  <w:style w:type="paragraph" w:styleId="FootnoteText">
    <w:name w:val="footnote text"/>
    <w:basedOn w:val="Normal"/>
    <w:link w:val="FootnoteTextChar"/>
    <w:uiPriority w:val="99"/>
    <w:unhideWhenUsed/>
    <w:rsid w:val="00332C1B"/>
    <w:rPr>
      <w:sz w:val="20"/>
      <w:szCs w:val="20"/>
      <w:lang w:val="en-GB" w:eastAsia="en-GB"/>
    </w:rPr>
  </w:style>
  <w:style w:type="character" w:customStyle="1" w:styleId="FootnoteTextChar">
    <w:name w:val="Footnote Text Char"/>
    <w:basedOn w:val="DefaultParagraphFont"/>
    <w:link w:val="FootnoteText"/>
    <w:uiPriority w:val="99"/>
    <w:rsid w:val="00332C1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332C1B"/>
    <w:rPr>
      <w:vertAlign w:val="superscript"/>
    </w:rPr>
  </w:style>
  <w:style w:type="paragraph" w:styleId="NormalWeb">
    <w:name w:val="Normal (Web)"/>
    <w:basedOn w:val="Normal"/>
    <w:uiPriority w:val="99"/>
    <w:semiHidden/>
    <w:unhideWhenUsed/>
    <w:rsid w:val="001C2A58"/>
    <w:pPr>
      <w:spacing w:before="100" w:beforeAutospacing="1" w:after="100" w:afterAutospacing="1"/>
    </w:pPr>
  </w:style>
  <w:style w:type="character" w:styleId="Strong">
    <w:name w:val="Strong"/>
    <w:basedOn w:val="DefaultParagraphFont"/>
    <w:uiPriority w:val="22"/>
    <w:qFormat/>
    <w:rsid w:val="001C2A58"/>
    <w:rPr>
      <w:b/>
      <w:bCs/>
    </w:rPr>
  </w:style>
  <w:style w:type="paragraph" w:styleId="CommentSubject">
    <w:name w:val="annotation subject"/>
    <w:basedOn w:val="CommentText"/>
    <w:next w:val="CommentText"/>
    <w:link w:val="CommentSubjectChar"/>
    <w:uiPriority w:val="99"/>
    <w:semiHidden/>
    <w:unhideWhenUsed/>
    <w:rsid w:val="007B2109"/>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7B2109"/>
    <w:rPr>
      <w:rFonts w:ascii="Times New Roman" w:eastAsia="Times New Roman" w:hAnsi="Times New Roman" w:cs="Times New Roman"/>
      <w:b/>
      <w:bCs/>
      <w:sz w:val="20"/>
      <w:szCs w:val="20"/>
      <w:lang w:val="en-GB" w:eastAsia="en-GB"/>
    </w:rPr>
  </w:style>
  <w:style w:type="table" w:styleId="TableGrid">
    <w:name w:val="Table Grid"/>
    <w:basedOn w:val="TableNormal"/>
    <w:uiPriority w:val="39"/>
    <w:rsid w:val="003D35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msonormal">
    <w:name w:val="x_x_x_x_x_x_x_xxmsonormal"/>
    <w:basedOn w:val="Normal"/>
    <w:rsid w:val="00214049"/>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8955">
      <w:bodyDiv w:val="1"/>
      <w:marLeft w:val="0"/>
      <w:marRight w:val="0"/>
      <w:marTop w:val="0"/>
      <w:marBottom w:val="0"/>
      <w:divBdr>
        <w:top w:val="none" w:sz="0" w:space="0" w:color="auto"/>
        <w:left w:val="none" w:sz="0" w:space="0" w:color="auto"/>
        <w:bottom w:val="none" w:sz="0" w:space="0" w:color="auto"/>
        <w:right w:val="none" w:sz="0" w:space="0" w:color="auto"/>
      </w:divBdr>
    </w:div>
    <w:div w:id="419566157">
      <w:bodyDiv w:val="1"/>
      <w:marLeft w:val="0"/>
      <w:marRight w:val="0"/>
      <w:marTop w:val="0"/>
      <w:marBottom w:val="0"/>
      <w:divBdr>
        <w:top w:val="none" w:sz="0" w:space="0" w:color="auto"/>
        <w:left w:val="none" w:sz="0" w:space="0" w:color="auto"/>
        <w:bottom w:val="none" w:sz="0" w:space="0" w:color="auto"/>
        <w:right w:val="none" w:sz="0" w:space="0" w:color="auto"/>
      </w:divBdr>
    </w:div>
    <w:div w:id="750547788">
      <w:bodyDiv w:val="1"/>
      <w:marLeft w:val="0"/>
      <w:marRight w:val="0"/>
      <w:marTop w:val="0"/>
      <w:marBottom w:val="0"/>
      <w:divBdr>
        <w:top w:val="none" w:sz="0" w:space="0" w:color="auto"/>
        <w:left w:val="none" w:sz="0" w:space="0" w:color="auto"/>
        <w:bottom w:val="none" w:sz="0" w:space="0" w:color="auto"/>
        <w:right w:val="none" w:sz="0" w:space="0" w:color="auto"/>
      </w:divBdr>
    </w:div>
    <w:div w:id="768740249">
      <w:bodyDiv w:val="1"/>
      <w:marLeft w:val="0"/>
      <w:marRight w:val="0"/>
      <w:marTop w:val="0"/>
      <w:marBottom w:val="0"/>
      <w:divBdr>
        <w:top w:val="none" w:sz="0" w:space="0" w:color="auto"/>
        <w:left w:val="none" w:sz="0" w:space="0" w:color="auto"/>
        <w:bottom w:val="none" w:sz="0" w:space="0" w:color="auto"/>
        <w:right w:val="none" w:sz="0" w:space="0" w:color="auto"/>
      </w:divBdr>
    </w:div>
    <w:div w:id="812453644">
      <w:bodyDiv w:val="1"/>
      <w:marLeft w:val="0"/>
      <w:marRight w:val="0"/>
      <w:marTop w:val="0"/>
      <w:marBottom w:val="0"/>
      <w:divBdr>
        <w:top w:val="none" w:sz="0" w:space="0" w:color="auto"/>
        <w:left w:val="none" w:sz="0" w:space="0" w:color="auto"/>
        <w:bottom w:val="none" w:sz="0" w:space="0" w:color="auto"/>
        <w:right w:val="none" w:sz="0" w:space="0" w:color="auto"/>
      </w:divBdr>
    </w:div>
    <w:div w:id="875118501">
      <w:bodyDiv w:val="1"/>
      <w:marLeft w:val="0"/>
      <w:marRight w:val="0"/>
      <w:marTop w:val="0"/>
      <w:marBottom w:val="0"/>
      <w:divBdr>
        <w:top w:val="none" w:sz="0" w:space="0" w:color="auto"/>
        <w:left w:val="none" w:sz="0" w:space="0" w:color="auto"/>
        <w:bottom w:val="none" w:sz="0" w:space="0" w:color="auto"/>
        <w:right w:val="none" w:sz="0" w:space="0" w:color="auto"/>
      </w:divBdr>
    </w:div>
    <w:div w:id="1134561290">
      <w:bodyDiv w:val="1"/>
      <w:marLeft w:val="0"/>
      <w:marRight w:val="0"/>
      <w:marTop w:val="0"/>
      <w:marBottom w:val="0"/>
      <w:divBdr>
        <w:top w:val="none" w:sz="0" w:space="0" w:color="auto"/>
        <w:left w:val="none" w:sz="0" w:space="0" w:color="auto"/>
        <w:bottom w:val="none" w:sz="0" w:space="0" w:color="auto"/>
        <w:right w:val="none" w:sz="0" w:space="0" w:color="auto"/>
      </w:divBdr>
      <w:divsChild>
        <w:div w:id="1798525869">
          <w:marLeft w:val="0"/>
          <w:marRight w:val="0"/>
          <w:marTop w:val="0"/>
          <w:marBottom w:val="0"/>
          <w:divBdr>
            <w:top w:val="none" w:sz="0" w:space="0" w:color="auto"/>
            <w:left w:val="none" w:sz="0" w:space="0" w:color="auto"/>
            <w:bottom w:val="none" w:sz="0" w:space="0" w:color="auto"/>
            <w:right w:val="none" w:sz="0" w:space="0" w:color="auto"/>
          </w:divBdr>
          <w:divsChild>
            <w:div w:id="1230268469">
              <w:marLeft w:val="0"/>
              <w:marRight w:val="0"/>
              <w:marTop w:val="0"/>
              <w:marBottom w:val="0"/>
              <w:divBdr>
                <w:top w:val="none" w:sz="0" w:space="0" w:color="auto"/>
                <w:left w:val="none" w:sz="0" w:space="0" w:color="auto"/>
                <w:bottom w:val="none" w:sz="0" w:space="0" w:color="auto"/>
                <w:right w:val="none" w:sz="0" w:space="0" w:color="auto"/>
              </w:divBdr>
              <w:divsChild>
                <w:div w:id="1765419326">
                  <w:marLeft w:val="-225"/>
                  <w:marRight w:val="-225"/>
                  <w:marTop w:val="0"/>
                  <w:marBottom w:val="0"/>
                  <w:divBdr>
                    <w:top w:val="none" w:sz="0" w:space="0" w:color="auto"/>
                    <w:left w:val="none" w:sz="0" w:space="0" w:color="auto"/>
                    <w:bottom w:val="none" w:sz="0" w:space="0" w:color="auto"/>
                    <w:right w:val="none" w:sz="0" w:space="0" w:color="auto"/>
                  </w:divBdr>
                  <w:divsChild>
                    <w:div w:id="63070784">
                      <w:marLeft w:val="0"/>
                      <w:marRight w:val="0"/>
                      <w:marTop w:val="0"/>
                      <w:marBottom w:val="0"/>
                      <w:divBdr>
                        <w:top w:val="none" w:sz="0" w:space="0" w:color="auto"/>
                        <w:left w:val="none" w:sz="0" w:space="0" w:color="auto"/>
                        <w:bottom w:val="none" w:sz="0" w:space="0" w:color="auto"/>
                        <w:right w:val="none" w:sz="0" w:space="0" w:color="auto"/>
                      </w:divBdr>
                      <w:divsChild>
                        <w:div w:id="428891793">
                          <w:marLeft w:val="0"/>
                          <w:marRight w:val="0"/>
                          <w:marTop w:val="0"/>
                          <w:marBottom w:val="225"/>
                          <w:divBdr>
                            <w:top w:val="none" w:sz="0" w:space="0" w:color="auto"/>
                            <w:left w:val="none" w:sz="0" w:space="0" w:color="auto"/>
                            <w:bottom w:val="none" w:sz="0" w:space="0" w:color="auto"/>
                            <w:right w:val="none" w:sz="0" w:space="0" w:color="auto"/>
                          </w:divBdr>
                          <w:divsChild>
                            <w:div w:id="743800384">
                              <w:marLeft w:val="0"/>
                              <w:marRight w:val="0"/>
                              <w:marTop w:val="0"/>
                              <w:marBottom w:val="0"/>
                              <w:divBdr>
                                <w:top w:val="none" w:sz="0" w:space="0" w:color="auto"/>
                                <w:left w:val="none" w:sz="0" w:space="0" w:color="auto"/>
                                <w:bottom w:val="none" w:sz="0" w:space="0" w:color="auto"/>
                                <w:right w:val="none" w:sz="0" w:space="0" w:color="auto"/>
                              </w:divBdr>
                              <w:divsChild>
                                <w:div w:id="193471215">
                                  <w:marLeft w:val="0"/>
                                  <w:marRight w:val="0"/>
                                  <w:marTop w:val="0"/>
                                  <w:marBottom w:val="0"/>
                                  <w:divBdr>
                                    <w:top w:val="none" w:sz="0" w:space="0" w:color="auto"/>
                                    <w:left w:val="none" w:sz="0" w:space="0" w:color="auto"/>
                                    <w:bottom w:val="none" w:sz="0" w:space="0" w:color="auto"/>
                                    <w:right w:val="none" w:sz="0" w:space="0" w:color="auto"/>
                                  </w:divBdr>
                                  <w:divsChild>
                                    <w:div w:id="1500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14957">
      <w:bodyDiv w:val="1"/>
      <w:marLeft w:val="0"/>
      <w:marRight w:val="0"/>
      <w:marTop w:val="0"/>
      <w:marBottom w:val="0"/>
      <w:divBdr>
        <w:top w:val="none" w:sz="0" w:space="0" w:color="auto"/>
        <w:left w:val="none" w:sz="0" w:space="0" w:color="auto"/>
        <w:bottom w:val="none" w:sz="0" w:space="0" w:color="auto"/>
        <w:right w:val="none" w:sz="0" w:space="0" w:color="auto"/>
      </w:divBdr>
    </w:div>
    <w:div w:id="1294025027">
      <w:bodyDiv w:val="1"/>
      <w:marLeft w:val="0"/>
      <w:marRight w:val="0"/>
      <w:marTop w:val="0"/>
      <w:marBottom w:val="0"/>
      <w:divBdr>
        <w:top w:val="none" w:sz="0" w:space="0" w:color="auto"/>
        <w:left w:val="none" w:sz="0" w:space="0" w:color="auto"/>
        <w:bottom w:val="none" w:sz="0" w:space="0" w:color="auto"/>
        <w:right w:val="none" w:sz="0" w:space="0" w:color="auto"/>
      </w:divBdr>
    </w:div>
    <w:div w:id="1308509512">
      <w:bodyDiv w:val="1"/>
      <w:marLeft w:val="0"/>
      <w:marRight w:val="0"/>
      <w:marTop w:val="0"/>
      <w:marBottom w:val="0"/>
      <w:divBdr>
        <w:top w:val="none" w:sz="0" w:space="0" w:color="auto"/>
        <w:left w:val="none" w:sz="0" w:space="0" w:color="auto"/>
        <w:bottom w:val="none" w:sz="0" w:space="0" w:color="auto"/>
        <w:right w:val="none" w:sz="0" w:space="0" w:color="auto"/>
      </w:divBdr>
    </w:div>
    <w:div w:id="1762792806">
      <w:bodyDiv w:val="1"/>
      <w:marLeft w:val="0"/>
      <w:marRight w:val="0"/>
      <w:marTop w:val="0"/>
      <w:marBottom w:val="0"/>
      <w:divBdr>
        <w:top w:val="none" w:sz="0" w:space="0" w:color="auto"/>
        <w:left w:val="none" w:sz="0" w:space="0" w:color="auto"/>
        <w:bottom w:val="none" w:sz="0" w:space="0" w:color="auto"/>
        <w:right w:val="none" w:sz="0" w:space="0" w:color="auto"/>
      </w:divBdr>
      <w:divsChild>
        <w:div w:id="360785796">
          <w:marLeft w:val="0"/>
          <w:marRight w:val="0"/>
          <w:marTop w:val="48"/>
          <w:marBottom w:val="0"/>
          <w:divBdr>
            <w:top w:val="none" w:sz="0" w:space="0" w:color="auto"/>
            <w:left w:val="none" w:sz="0" w:space="0" w:color="auto"/>
            <w:bottom w:val="none" w:sz="0" w:space="0" w:color="auto"/>
            <w:right w:val="none" w:sz="0" w:space="0" w:color="auto"/>
          </w:divBdr>
        </w:div>
        <w:div w:id="2072269728">
          <w:marLeft w:val="0"/>
          <w:marRight w:val="0"/>
          <w:marTop w:val="48"/>
          <w:marBottom w:val="0"/>
          <w:divBdr>
            <w:top w:val="none" w:sz="0" w:space="0" w:color="auto"/>
            <w:left w:val="none" w:sz="0" w:space="0" w:color="auto"/>
            <w:bottom w:val="none" w:sz="0" w:space="0" w:color="auto"/>
            <w:right w:val="none" w:sz="0" w:space="0" w:color="auto"/>
          </w:divBdr>
        </w:div>
        <w:div w:id="878511526">
          <w:marLeft w:val="0"/>
          <w:marRight w:val="0"/>
          <w:marTop w:val="48"/>
          <w:marBottom w:val="0"/>
          <w:divBdr>
            <w:top w:val="none" w:sz="0" w:space="0" w:color="auto"/>
            <w:left w:val="none" w:sz="0" w:space="0" w:color="auto"/>
            <w:bottom w:val="none" w:sz="0" w:space="0" w:color="auto"/>
            <w:right w:val="none" w:sz="0" w:space="0" w:color="auto"/>
          </w:divBdr>
        </w:div>
        <w:div w:id="687173099">
          <w:marLeft w:val="0"/>
          <w:marRight w:val="0"/>
          <w:marTop w:val="48"/>
          <w:marBottom w:val="0"/>
          <w:divBdr>
            <w:top w:val="none" w:sz="0" w:space="0" w:color="auto"/>
            <w:left w:val="none" w:sz="0" w:space="0" w:color="auto"/>
            <w:bottom w:val="none" w:sz="0" w:space="0" w:color="auto"/>
            <w:right w:val="none" w:sz="0" w:space="0" w:color="auto"/>
          </w:divBdr>
        </w:div>
      </w:divsChild>
    </w:div>
    <w:div w:id="1853227511">
      <w:bodyDiv w:val="1"/>
      <w:marLeft w:val="0"/>
      <w:marRight w:val="0"/>
      <w:marTop w:val="0"/>
      <w:marBottom w:val="0"/>
      <w:divBdr>
        <w:top w:val="none" w:sz="0" w:space="0" w:color="auto"/>
        <w:left w:val="none" w:sz="0" w:space="0" w:color="auto"/>
        <w:bottom w:val="none" w:sz="0" w:space="0" w:color="auto"/>
        <w:right w:val="none" w:sz="0" w:space="0" w:color="auto"/>
      </w:divBdr>
    </w:div>
    <w:div w:id="1927378952">
      <w:bodyDiv w:val="1"/>
      <w:marLeft w:val="0"/>
      <w:marRight w:val="0"/>
      <w:marTop w:val="0"/>
      <w:marBottom w:val="0"/>
      <w:divBdr>
        <w:top w:val="none" w:sz="0" w:space="0" w:color="auto"/>
        <w:left w:val="none" w:sz="0" w:space="0" w:color="auto"/>
        <w:bottom w:val="none" w:sz="0" w:space="0" w:color="auto"/>
        <w:right w:val="none" w:sz="0" w:space="0" w:color="auto"/>
      </w:divBdr>
    </w:div>
    <w:div w:id="208152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fr/url?sa=i&amp;rct=j&amp;q=&amp;esrc=s&amp;source=images&amp;cd=&amp;cad=rja&amp;uact=8&amp;ved=2ahUKEwjt6OL-kILaAhViKpoKHSmKDAoQjRx6BAgAEAU&amp;url=https://commons.wikimedia.org/wiki/File:European_Commission.svg&amp;psig=AOvVaw1pOFGho7WNLmbIMc2vRdJD&amp;ust=15218837719731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apshrmnet.org/" TargetMode="External"/><Relationship Id="rId3" Type="http://schemas.openxmlformats.org/officeDocument/2006/relationships/hyperlink" Target="https://publicadministration.un.org/Portals/1/Images/CEPA/Principles_of_effective_governance_english.pdf" TargetMode="External"/><Relationship Id="rId7" Type="http://schemas.openxmlformats.org/officeDocument/2006/relationships/hyperlink" Target="https://www.un.org/en/desa" TargetMode="External"/><Relationship Id="rId2" Type="http://schemas.openxmlformats.org/officeDocument/2006/relationships/hyperlink" Target="https://www.un.org/development/desa/dpad/publication/un-desa-policy-brief-75-covid-19-reaffirming-state-people-governance-relationships/" TargetMode="External"/><Relationship Id="rId1" Type="http://schemas.openxmlformats.org/officeDocument/2006/relationships/hyperlink" Target="https://www.un.org/en/un75/common-agenda" TargetMode="External"/><Relationship Id="rId6" Type="http://schemas.openxmlformats.org/officeDocument/2006/relationships/hyperlink" Target="https://publicadministration.un.org/en/Intergovernmental-Support/CEPA/Principles-of-Effective-Governance" TargetMode="External"/><Relationship Id="rId5" Type="http://schemas.openxmlformats.org/officeDocument/2006/relationships/hyperlink" Target="https://undocs.org/en/e/c.16/2021/7" TargetMode="External"/><Relationship Id="rId4" Type="http://schemas.openxmlformats.org/officeDocument/2006/relationships/hyperlink" Target="https://publicadministration.un.org/portals/1/cepa%20contribution%20to%202021%20hlp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4617-8A5C-4ADE-A79E-DE71C235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8908</Characters>
  <Application>Microsoft Office Word</Application>
  <DocSecurity>0</DocSecurity>
  <Lines>143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Mariastefania Senese</dc:creator>
  <cp:lastModifiedBy>OD</cp:lastModifiedBy>
  <cp:revision>2</cp:revision>
  <dcterms:created xsi:type="dcterms:W3CDTF">2023-11-06T15:19:00Z</dcterms:created>
  <dcterms:modified xsi:type="dcterms:W3CDTF">2023-11-06T15:19:00Z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68c58549d499487298a6f35b26e904d60beb579ff997bb143e3c1db7d8a22a4f</vt:lpwstr>
  </property>
</Properties>
</file>